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1735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8</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10345</w:t>
      </w:r>
      <w:bookmarkStart w:id="1" w:name="_GoBack"/>
      <w:bookmarkEnd w:id="1"/>
    </w:p>
    <w:p w14:paraId="08481E08">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Orlando,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6AB35867">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3.5</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other aspects of simulation assumption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5DC5F2D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As per Chairlady</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guidance, </w:t>
      </w:r>
      <w:r>
        <w:rPr>
          <w:rFonts w:hint="eastAsia" w:ascii="Arial" w:hAnsi="Arial" w:eastAsia="宋体" w:cs="Arial"/>
          <w:kern w:val="0"/>
          <w:sz w:val="20"/>
          <w:szCs w:val="20"/>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simulations, including controversial aspects of email discussion or on aspects not covered in email discussion related to simulation assumptions for RLF, Event prediction, and system performance evaluation assumptions, and aspects and assumptions related to generalization study for RRM prediction</w:t>
      </w:r>
      <w:r>
        <w:rPr>
          <w:rFonts w:ascii="Arial" w:hAnsi="Arial" w:eastAsia="宋体" w:cs="Arial"/>
          <w:kern w:val="0"/>
          <w:sz w:val="20"/>
          <w:szCs w:val="20"/>
          <w:lang w:val="en-GB"/>
        </w:rPr>
        <w:t>.</w:t>
      </w:r>
    </w:p>
    <w:p w14:paraId="5D063125">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42821AF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Discussion on model generalization</w:t>
      </w:r>
    </w:p>
    <w:p w14:paraId="4FAF19B0">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During R18 study on AI/ML for Air Interface, RAN1 discussed how to evaluate the model generalization and considered the various scenarios or configurations per use case. The conclusions on model generalization are captured in TR 38.843 [1], and the following text is for beam management use case: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58E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1F91834">
            <w:pPr>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b/>
                <w:bCs/>
                <w:sz w:val="20"/>
                <w:szCs w:val="21"/>
              </w:rPr>
            </w:pPr>
            <w:r>
              <w:rPr>
                <w:rFonts w:hint="default" w:ascii="Times New Roman" w:hAnsi="Times New Roman" w:cs="Times New Roman"/>
                <w:b/>
                <w:bCs/>
                <w:i/>
                <w:sz w:val="20"/>
                <w:szCs w:val="21"/>
              </w:rPr>
              <w:t>Model generalization</w:t>
            </w:r>
            <w:r>
              <w:rPr>
                <w:rFonts w:hint="default" w:ascii="Times New Roman" w:hAnsi="Times New Roman" w:cs="Times New Roman"/>
                <w:b/>
                <w:bCs/>
                <w:sz w:val="20"/>
                <w:szCs w:val="21"/>
              </w:rPr>
              <w:t>:</w:t>
            </w:r>
          </w:p>
          <w:p w14:paraId="6E07D2AD">
            <w:pPr>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 xml:space="preserve">In the context of model generalization, scenarios may mean various deployment scenarios, various outdoor/indoor UE distributions, various UE mobility assumptions. Similarly, configurations may mean various UE parameters, various gNB settings, </w:t>
            </w:r>
            <w:r>
              <w:rPr>
                <w:rFonts w:hint="default" w:ascii="Times New Roman" w:hAnsi="Times New Roman" w:eastAsia="宋体" w:cs="Times New Roman"/>
                <w:sz w:val="20"/>
                <w:szCs w:val="21"/>
                <w:lang w:eastAsia="ko-KR"/>
              </w:rPr>
              <w:t>V</w:t>
            </w:r>
            <w:r>
              <w:rPr>
                <w:rFonts w:hint="default" w:ascii="Times New Roman" w:hAnsi="Times New Roman" w:cs="Times New Roman"/>
                <w:sz w:val="20"/>
                <w:szCs w:val="21"/>
                <w:lang w:eastAsia="ko-KR"/>
              </w:rPr>
              <w:t>arious Set B of beam(pairs). The selected scenarios/configurations for generalization verification may consider the AI model inference node (e.g., @UE or @gNB) and use case (e.g., BM-Case1, or BM-Case2). Specifically, the following generalizations could be considered and clause 6.3.2 presents those which have been actually simulated by companies:</w:t>
            </w:r>
          </w:p>
          <w:p w14:paraId="6DDE2BE3">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highlight w:val="yellow"/>
                <w:lang w:eastAsia="ko-KR"/>
              </w:rPr>
            </w:pPr>
            <w:r>
              <w:rPr>
                <w:rFonts w:hint="default" w:ascii="Times New Roman" w:hAnsi="Times New Roman" w:cs="Times New Roman"/>
                <w:sz w:val="20"/>
                <w:szCs w:val="21"/>
                <w:highlight w:val="yellow"/>
                <w:lang w:eastAsia="ko-KR"/>
              </w:rPr>
              <w:t>-</w:t>
            </w:r>
            <w:r>
              <w:rPr>
                <w:rFonts w:hint="default" w:ascii="Times New Roman" w:hAnsi="Times New Roman" w:cs="Times New Roman"/>
                <w:sz w:val="20"/>
                <w:szCs w:val="21"/>
                <w:highlight w:val="yellow"/>
                <w:lang w:eastAsia="ko-KR"/>
              </w:rPr>
              <w:tab/>
            </w:r>
            <w:r>
              <w:rPr>
                <w:rFonts w:hint="default" w:ascii="Times New Roman" w:hAnsi="Times New Roman" w:cs="Times New Roman"/>
                <w:sz w:val="20"/>
                <w:szCs w:val="21"/>
                <w:highlight w:val="yellow"/>
                <w:lang w:eastAsia="ko-KR"/>
              </w:rPr>
              <w:t>Scenarios:</w:t>
            </w:r>
          </w:p>
          <w:p w14:paraId="1E73CC7D">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 xml:space="preserve">Various deployment scenarios, e.g., UMa, UMi and others; e.g., 200m ISD or 500m ISD and others; e.g., same deployment, different cells with different configuration/assumption; e.g., gNB height and UE height; </w:t>
            </w:r>
          </w:p>
          <w:p w14:paraId="7A3C7118">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Various outdoor/indoor UE distributions, e.g., 100%/0%, 20%/80%, and others</w:t>
            </w:r>
          </w:p>
          <w:p w14:paraId="303A88E2">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Various UE mobility, e.g., 3km/h, 30km/h, 60km/h and others</w:t>
            </w:r>
          </w:p>
          <w:p w14:paraId="39DD0F0E">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highlight w:val="yellow"/>
                <w:lang w:eastAsia="ko-KR"/>
              </w:rPr>
            </w:pPr>
            <w:r>
              <w:rPr>
                <w:rFonts w:hint="default" w:ascii="Times New Roman" w:hAnsi="Times New Roman" w:cs="Times New Roman"/>
                <w:sz w:val="20"/>
                <w:szCs w:val="21"/>
                <w:highlight w:val="yellow"/>
                <w:lang w:eastAsia="ko-KR"/>
              </w:rPr>
              <w:t>-</w:t>
            </w:r>
            <w:r>
              <w:rPr>
                <w:rFonts w:hint="default" w:ascii="Times New Roman" w:hAnsi="Times New Roman" w:cs="Times New Roman"/>
                <w:sz w:val="20"/>
                <w:szCs w:val="21"/>
                <w:highlight w:val="yellow"/>
                <w:lang w:eastAsia="ko-KR"/>
              </w:rPr>
              <w:tab/>
            </w:r>
            <w:r>
              <w:rPr>
                <w:rFonts w:hint="default" w:ascii="Times New Roman" w:hAnsi="Times New Roman" w:cs="Times New Roman"/>
                <w:sz w:val="20"/>
                <w:szCs w:val="21"/>
                <w:highlight w:val="yellow"/>
                <w:lang w:eastAsia="ko-KR"/>
              </w:rPr>
              <w:t>Configurations (parameters and settings):</w:t>
            </w:r>
          </w:p>
          <w:p w14:paraId="51EAF3DC">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Various UE parameters, e.g., number of UE Rx beams (including number of panels and UE antenna array dimensions)</w:t>
            </w:r>
          </w:p>
          <w:p w14:paraId="283B2444">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Various gNB settings, e.g., DL Tx beam codebook (including various Set A of beam(pairs) and gNB antenna array dimensions)</w:t>
            </w:r>
          </w:p>
          <w:p w14:paraId="2FD7A29D">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Various Set B of beam (pairs)</w:t>
            </w:r>
          </w:p>
          <w:p w14:paraId="07625FF3">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T1 for measurement /T2 for prediction for BM-Case2</w:t>
            </w:r>
          </w:p>
          <w:p w14:paraId="17DA8E0D">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lang w:eastAsia="ko-KR"/>
              </w:rPr>
            </w:pPr>
            <w:r>
              <w:rPr>
                <w:rFonts w:hint="default" w:ascii="Times New Roman" w:hAnsi="Times New Roman" w:cs="Times New Roman"/>
                <w:sz w:val="20"/>
                <w:szCs w:val="21"/>
                <w:lang w:eastAsia="ko-KR"/>
              </w:rPr>
              <w:t>-</w:t>
            </w:r>
            <w:r>
              <w:rPr>
                <w:rFonts w:hint="default" w:ascii="Times New Roman" w:hAnsi="Times New Roman" w:cs="Times New Roman"/>
                <w:sz w:val="20"/>
                <w:szCs w:val="21"/>
                <w:lang w:eastAsia="ko-KR"/>
              </w:rPr>
              <w:tab/>
            </w:r>
            <w:r>
              <w:rPr>
                <w:rFonts w:hint="default" w:ascii="Times New Roman" w:hAnsi="Times New Roman" w:cs="Times New Roman"/>
                <w:sz w:val="20"/>
                <w:szCs w:val="21"/>
                <w:lang w:eastAsia="ko-KR"/>
              </w:rPr>
              <w:t>Other scenarios/configurations(parameters and settings) are not precluded and can be reported</w:t>
            </w:r>
          </w:p>
          <w:p w14:paraId="35FDBCA6">
            <w:pPr>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sz w:val="20"/>
                <w:szCs w:val="21"/>
                <w:lang w:eastAsia="ko-KR"/>
              </w:rPr>
              <w:t>Companies to report the selected scenarios/configurations for generalization verification. Note: other approaches for achieving good generalization performance for AI/ML-based schemes are not precluded.</w:t>
            </w:r>
          </w:p>
          <w:p w14:paraId="796C0B91">
            <w:pPr>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highlight w:val="yellow"/>
              </w:rPr>
            </w:pPr>
            <w:r>
              <w:rPr>
                <w:rFonts w:hint="default" w:ascii="Times New Roman" w:hAnsi="Times New Roman" w:cs="Times New Roman"/>
                <w:sz w:val="20"/>
                <w:szCs w:val="21"/>
                <w:highlight w:val="yellow"/>
              </w:rPr>
              <w:t xml:space="preserve">The following cases are considered for verifying the </w:t>
            </w:r>
            <w:r>
              <w:rPr>
                <w:rFonts w:hint="default" w:ascii="Times New Roman" w:hAnsi="Times New Roman" w:cs="Times New Roman"/>
                <w:i/>
                <w:iCs/>
                <w:sz w:val="20"/>
                <w:szCs w:val="21"/>
                <w:highlight w:val="yellow"/>
              </w:rPr>
              <w:t>generalization performance</w:t>
            </w:r>
            <w:r>
              <w:rPr>
                <w:rFonts w:hint="default" w:ascii="Times New Roman" w:hAnsi="Times New Roman" w:cs="Times New Roman"/>
                <w:sz w:val="20"/>
                <w:szCs w:val="21"/>
                <w:highlight w:val="yellow"/>
              </w:rPr>
              <w:t xml:space="preserve"> of an AI/ML model over various scenarios/configurations as a starting point:</w:t>
            </w:r>
          </w:p>
          <w:p w14:paraId="3C79BDAF">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sz w:val="20"/>
                <w:szCs w:val="21"/>
              </w:rPr>
              <w:t>-</w:t>
            </w:r>
            <w:r>
              <w:rPr>
                <w:rFonts w:hint="default" w:ascii="Times New Roman" w:hAnsi="Times New Roman" w:cs="Times New Roman"/>
                <w:sz w:val="20"/>
                <w:szCs w:val="21"/>
              </w:rPr>
              <w:tab/>
            </w:r>
            <w:r>
              <w:rPr>
                <w:rFonts w:hint="default" w:ascii="Times New Roman" w:hAnsi="Times New Roman" w:cs="Times New Roman"/>
                <w:b/>
                <w:bCs/>
                <w:sz w:val="20"/>
                <w:szCs w:val="21"/>
              </w:rPr>
              <w:t>Case 1</w:t>
            </w:r>
            <w:r>
              <w:rPr>
                <w:rFonts w:hint="default" w:ascii="Times New Roman" w:hAnsi="Times New Roman" w:cs="Times New Roman"/>
                <w:sz w:val="20"/>
                <w:szCs w:val="21"/>
              </w:rPr>
              <w:t>: The AI/ML model is trained based on training dataset from one Scenario#A/Configuration#A, and then the AI/ML model performs inference/test on a dataset from the same Scenario#A/Configuration#A</w:t>
            </w:r>
          </w:p>
          <w:p w14:paraId="035FD722">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b/>
                <w:bCs/>
                <w:sz w:val="20"/>
                <w:szCs w:val="21"/>
              </w:rPr>
              <w:t>-</w:t>
            </w:r>
            <w:r>
              <w:rPr>
                <w:rFonts w:hint="default" w:ascii="Times New Roman" w:hAnsi="Times New Roman" w:cs="Times New Roman"/>
                <w:b/>
                <w:bCs/>
                <w:sz w:val="20"/>
                <w:szCs w:val="21"/>
              </w:rPr>
              <w:tab/>
            </w:r>
            <w:r>
              <w:rPr>
                <w:rFonts w:hint="default" w:ascii="Times New Roman" w:hAnsi="Times New Roman" w:cs="Times New Roman"/>
                <w:b/>
                <w:bCs/>
                <w:sz w:val="20"/>
                <w:szCs w:val="21"/>
              </w:rPr>
              <w:t>Case 2</w:t>
            </w:r>
            <w:r>
              <w:rPr>
                <w:rFonts w:hint="default" w:ascii="Times New Roman" w:hAnsi="Times New Roman" w:cs="Times New Roman"/>
                <w:sz w:val="20"/>
                <w:szCs w:val="21"/>
              </w:rPr>
              <w:t>: The AI/ML model is trained based on training dataset from one Scenario#A/Configuration#A, and then the AI/ML model performs inference/test on a different dataset than Scenario#A/Configuration#A, e.g., Scenario#B/Configuration#B, Scenario#A/Configuration#B</w:t>
            </w:r>
          </w:p>
          <w:p w14:paraId="5ED8148B">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b/>
                <w:bCs/>
                <w:sz w:val="20"/>
                <w:szCs w:val="21"/>
              </w:rPr>
              <w:t>-</w:t>
            </w:r>
            <w:r>
              <w:rPr>
                <w:rFonts w:hint="default" w:ascii="Times New Roman" w:hAnsi="Times New Roman" w:cs="Times New Roman"/>
                <w:b/>
                <w:bCs/>
                <w:sz w:val="20"/>
                <w:szCs w:val="21"/>
              </w:rPr>
              <w:tab/>
            </w:r>
            <w:r>
              <w:rPr>
                <w:rFonts w:hint="default" w:ascii="Times New Roman" w:hAnsi="Times New Roman" w:cs="Times New Roman"/>
                <w:b/>
                <w:bCs/>
                <w:sz w:val="20"/>
                <w:szCs w:val="21"/>
              </w:rPr>
              <w:t>Case 3</w:t>
            </w:r>
            <w:r>
              <w:rPr>
                <w:rFonts w:hint="default" w:ascii="Times New Roman" w:hAnsi="Times New Roman" w:cs="Times New Roman"/>
                <w:sz w:val="20"/>
                <w:szCs w:val="21"/>
              </w:rPr>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89E1438">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sz w:val="20"/>
                <w:szCs w:val="21"/>
              </w:rPr>
              <w:t>-</w:t>
            </w:r>
            <w:r>
              <w:rPr>
                <w:rFonts w:hint="default" w:ascii="Times New Roman" w:hAnsi="Times New Roman" w:cs="Times New Roman"/>
                <w:sz w:val="20"/>
                <w:szCs w:val="21"/>
              </w:rPr>
              <w:tab/>
            </w:r>
            <w:r>
              <w:rPr>
                <w:rFonts w:hint="default" w:ascii="Times New Roman" w:hAnsi="Times New Roman" w:cs="Times New Roman"/>
                <w:sz w:val="20"/>
                <w:szCs w:val="21"/>
              </w:rPr>
              <w:t xml:space="preserve">Notes: Companies to report the ratio for dataset mixing. Number of the multiple scenarios/configurations can be larger than two. </w:t>
            </w:r>
          </w:p>
          <w:p w14:paraId="1E17646B">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sz w:val="20"/>
                <w:szCs w:val="21"/>
              </w:rPr>
              <w:t>-</w:t>
            </w:r>
            <w:r>
              <w:rPr>
                <w:rFonts w:hint="default" w:ascii="Times New Roman" w:hAnsi="Times New Roman" w:cs="Times New Roman"/>
                <w:sz w:val="20"/>
                <w:szCs w:val="21"/>
              </w:rPr>
              <w:tab/>
            </w:r>
            <w:r>
              <w:rPr>
                <w:rFonts w:hint="default" w:ascii="Times New Roman" w:hAnsi="Times New Roman" w:cs="Times New Roman"/>
                <w:sz w:val="20"/>
                <w:szCs w:val="21"/>
              </w:rPr>
              <w:t xml:space="preserve">The following case for generalization verification, can be optionally considered by companies: </w:t>
            </w:r>
          </w:p>
          <w:p w14:paraId="4F1DBA73">
            <w:pPr>
              <w:pStyle w:val="35"/>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1"/>
              </w:rPr>
            </w:pPr>
            <w:r>
              <w:rPr>
                <w:rFonts w:hint="default" w:ascii="Times New Roman" w:hAnsi="Times New Roman" w:cs="Times New Roman"/>
                <w:sz w:val="20"/>
                <w:szCs w:val="21"/>
              </w:rPr>
              <w:t>-</w:t>
            </w:r>
            <w:r>
              <w:rPr>
                <w:rFonts w:hint="default" w:ascii="Times New Roman" w:hAnsi="Times New Roman" w:cs="Times New Roman"/>
                <w:sz w:val="20"/>
                <w:szCs w:val="21"/>
              </w:rPr>
              <w:tab/>
            </w:r>
            <w:r>
              <w:rPr>
                <w:rFonts w:hint="default" w:ascii="Times New Roman" w:hAnsi="Times New Roman" w:cs="Times New Roman"/>
                <w:b/>
                <w:bCs/>
                <w:sz w:val="20"/>
                <w:szCs w:val="21"/>
              </w:rPr>
              <w:t>Case 2A</w:t>
            </w:r>
            <w:r>
              <w:rPr>
                <w:rFonts w:hint="default" w:ascii="Times New Roman" w:hAnsi="Times New Roman" w:cs="Times New Roman"/>
                <w:sz w:val="20"/>
                <w:szCs w:val="21"/>
              </w:rPr>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5E964EE">
            <w:pPr>
              <w:pStyle w:val="40"/>
              <w:keepNext w:val="0"/>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sz w:val="20"/>
                <w:szCs w:val="21"/>
                <w:lang w:val="en-US" w:eastAsia="zh-CN"/>
              </w:rPr>
            </w:pPr>
            <w:r>
              <w:rPr>
                <w:rFonts w:hint="default" w:ascii="Times New Roman" w:hAnsi="Times New Roman" w:cs="Times New Roman"/>
                <w:sz w:val="20"/>
                <w:szCs w:val="21"/>
              </w:rPr>
              <w:t>-</w:t>
            </w:r>
            <w:r>
              <w:rPr>
                <w:rFonts w:hint="default" w:ascii="Times New Roman" w:hAnsi="Times New Roman" w:cs="Times New Roman"/>
                <w:sz w:val="20"/>
                <w:szCs w:val="21"/>
              </w:rPr>
              <w:tab/>
            </w:r>
            <w:r>
              <w:rPr>
                <w:rFonts w:hint="default" w:ascii="Times New Roman" w:hAnsi="Times New Roman" w:cs="Times New Roman"/>
                <w:sz w:val="20"/>
                <w:szCs w:val="21"/>
              </w:rPr>
              <w:t>Companies to report the fine-tuning dataset setting (e.g., size of dataset) and the improvement of performance.</w:t>
            </w:r>
          </w:p>
        </w:tc>
      </w:tr>
    </w:tbl>
    <w:p w14:paraId="67FACCED">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For RRM measurement prediction, temporal domain, frequency domain and spatial domain are studied in R19 and the following cases are considered for simulation evaluation.</w:t>
      </w:r>
    </w:p>
    <w:tbl>
      <w:tblPr>
        <w:tblStyle w:val="15"/>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950"/>
        <w:gridCol w:w="4485"/>
        <w:gridCol w:w="1161"/>
        <w:gridCol w:w="1294"/>
      </w:tblGrid>
      <w:tr w14:paraId="25B2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24C7756D">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Case number</w:t>
            </w:r>
          </w:p>
        </w:tc>
        <w:tc>
          <w:tcPr>
            <w:tcW w:w="950" w:type="dxa"/>
          </w:tcPr>
          <w:p w14:paraId="1EB97DEB">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 xml:space="preserve">Prioritization </w:t>
            </w:r>
          </w:p>
        </w:tc>
        <w:tc>
          <w:tcPr>
            <w:tcW w:w="4485" w:type="dxa"/>
          </w:tcPr>
          <w:p w14:paraId="58D7EF54">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Evaluation scenario combination</w:t>
            </w:r>
          </w:p>
        </w:tc>
        <w:tc>
          <w:tcPr>
            <w:tcW w:w="1161" w:type="dxa"/>
          </w:tcPr>
          <w:p w14:paraId="2DCD3383">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target study goal</w:t>
            </w:r>
          </w:p>
        </w:tc>
        <w:tc>
          <w:tcPr>
            <w:tcW w:w="1294" w:type="dxa"/>
          </w:tcPr>
          <w:p w14:paraId="0E52ACB7">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Methodology</w:t>
            </w:r>
          </w:p>
        </w:tc>
      </w:tr>
      <w:tr w14:paraId="1772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4AFCEB53">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1</w:t>
            </w:r>
          </w:p>
        </w:tc>
        <w:tc>
          <w:tcPr>
            <w:tcW w:w="950" w:type="dxa"/>
          </w:tcPr>
          <w:p w14:paraId="320E309D">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Low</w:t>
            </w:r>
          </w:p>
        </w:tc>
        <w:tc>
          <w:tcPr>
            <w:tcW w:w="4485" w:type="dxa"/>
          </w:tcPr>
          <w:p w14:paraId="2F58F9D7">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FR1 to FR1 intra-frequency temporal domain case A</w:t>
            </w:r>
          </w:p>
        </w:tc>
        <w:tc>
          <w:tcPr>
            <w:tcW w:w="1161" w:type="dxa"/>
          </w:tcPr>
          <w:p w14:paraId="4921790A">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2</w:t>
            </w:r>
            <w:r>
              <w:rPr>
                <w:rFonts w:hint="default" w:ascii="Times New Roman" w:hAnsi="Times New Roman" w:eastAsia="MS Mincho" w:cs="Times New Roman"/>
                <w:kern w:val="0"/>
                <w:sz w:val="20"/>
                <w:vertAlign w:val="superscript"/>
                <w:lang w:eastAsia="en-GB"/>
              </w:rPr>
              <w:t>nd</w:t>
            </w:r>
            <w:r>
              <w:rPr>
                <w:rFonts w:hint="default" w:ascii="Times New Roman" w:hAnsi="Times New Roman" w:eastAsia="MS Mincho" w:cs="Times New Roman"/>
                <w:kern w:val="0"/>
                <w:sz w:val="20"/>
                <w:lang w:eastAsia="en-GB"/>
              </w:rPr>
              <w:t xml:space="preserve">   goal</w:t>
            </w:r>
          </w:p>
        </w:tc>
        <w:tc>
          <w:tcPr>
            <w:tcW w:w="1294" w:type="dxa"/>
          </w:tcPr>
          <w:p w14:paraId="26A73B6D">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TBD</w:t>
            </w:r>
          </w:p>
        </w:tc>
      </w:tr>
      <w:tr w14:paraId="6A89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71AB45F9">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2</w:t>
            </w:r>
          </w:p>
        </w:tc>
        <w:tc>
          <w:tcPr>
            <w:tcW w:w="950" w:type="dxa"/>
          </w:tcPr>
          <w:p w14:paraId="18D6E9AC">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High</w:t>
            </w:r>
          </w:p>
        </w:tc>
        <w:tc>
          <w:tcPr>
            <w:tcW w:w="4485" w:type="dxa"/>
          </w:tcPr>
          <w:p w14:paraId="07A57303">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FR1 to FR1 intra-frequency temporal domain case B</w:t>
            </w:r>
          </w:p>
        </w:tc>
        <w:tc>
          <w:tcPr>
            <w:tcW w:w="1161" w:type="dxa"/>
          </w:tcPr>
          <w:p w14:paraId="208481B7">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1</w:t>
            </w:r>
            <w:r>
              <w:rPr>
                <w:rFonts w:hint="default" w:ascii="Times New Roman" w:hAnsi="Times New Roman" w:eastAsia="MS Mincho" w:cs="Times New Roman"/>
                <w:kern w:val="0"/>
                <w:sz w:val="20"/>
                <w:vertAlign w:val="superscript"/>
                <w:lang w:eastAsia="en-GB"/>
              </w:rPr>
              <w:t>st</w:t>
            </w:r>
            <w:r>
              <w:rPr>
                <w:rFonts w:hint="default" w:ascii="Times New Roman" w:hAnsi="Times New Roman" w:eastAsia="MS Mincho" w:cs="Times New Roman"/>
                <w:kern w:val="0"/>
                <w:sz w:val="20"/>
                <w:lang w:eastAsia="en-GB"/>
              </w:rPr>
              <w:t xml:space="preserve">  goal</w:t>
            </w:r>
          </w:p>
        </w:tc>
        <w:tc>
          <w:tcPr>
            <w:tcW w:w="1294" w:type="dxa"/>
          </w:tcPr>
          <w:p w14:paraId="2930EC59">
            <w:pPr>
              <w:spacing w:before="120" w:beforeLines="50"/>
              <w:ind w:left="0" w:firstLine="0"/>
              <w:rPr>
                <w:rFonts w:hint="default" w:ascii="Times New Roman" w:hAnsi="Times New Roman" w:eastAsia="MS Mincho" w:cs="Times New Roman"/>
                <w:kern w:val="0"/>
                <w:sz w:val="20"/>
                <w:vertAlign w:val="superscript"/>
                <w:lang w:eastAsia="en-GB"/>
              </w:rPr>
            </w:pPr>
            <w:r>
              <w:rPr>
                <w:rFonts w:hint="default" w:ascii="Times New Roman" w:hAnsi="Times New Roman" w:eastAsia="MS Mincho" w:cs="Times New Roman"/>
                <w:kern w:val="0"/>
                <w:sz w:val="20"/>
                <w:lang w:eastAsia="en-GB"/>
              </w:rPr>
              <w:t>Intra-cell</w:t>
            </w:r>
          </w:p>
        </w:tc>
      </w:tr>
      <w:tr w14:paraId="0097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2335130F">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3</w:t>
            </w:r>
          </w:p>
        </w:tc>
        <w:tc>
          <w:tcPr>
            <w:tcW w:w="950" w:type="dxa"/>
          </w:tcPr>
          <w:p w14:paraId="6B3635FC">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High</w:t>
            </w:r>
          </w:p>
        </w:tc>
        <w:tc>
          <w:tcPr>
            <w:tcW w:w="4485" w:type="dxa"/>
          </w:tcPr>
          <w:p w14:paraId="380E37D5">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FR1 to FR1 inter-frequency (frequency domain)</w:t>
            </w:r>
          </w:p>
        </w:tc>
        <w:tc>
          <w:tcPr>
            <w:tcW w:w="1161" w:type="dxa"/>
          </w:tcPr>
          <w:p w14:paraId="3B192416">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1</w:t>
            </w:r>
            <w:r>
              <w:rPr>
                <w:rFonts w:hint="default" w:ascii="Times New Roman" w:hAnsi="Times New Roman" w:eastAsia="MS Mincho" w:cs="Times New Roman"/>
                <w:kern w:val="0"/>
                <w:sz w:val="20"/>
                <w:vertAlign w:val="superscript"/>
                <w:lang w:eastAsia="en-GB"/>
              </w:rPr>
              <w:t>st</w:t>
            </w:r>
            <w:r>
              <w:rPr>
                <w:rFonts w:hint="default" w:ascii="Times New Roman" w:hAnsi="Times New Roman" w:eastAsia="MS Mincho" w:cs="Times New Roman"/>
                <w:kern w:val="0"/>
                <w:sz w:val="20"/>
                <w:lang w:eastAsia="en-GB"/>
              </w:rPr>
              <w:t xml:space="preserve"> goal</w:t>
            </w:r>
          </w:p>
        </w:tc>
        <w:tc>
          <w:tcPr>
            <w:tcW w:w="1294" w:type="dxa"/>
          </w:tcPr>
          <w:p w14:paraId="324307C3">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 xml:space="preserve">Inter-cell </w:t>
            </w:r>
          </w:p>
        </w:tc>
      </w:tr>
      <w:tr w14:paraId="644E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67DD322C">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4</w:t>
            </w:r>
          </w:p>
        </w:tc>
        <w:tc>
          <w:tcPr>
            <w:tcW w:w="950" w:type="dxa"/>
          </w:tcPr>
          <w:p w14:paraId="2E458B7B">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High</w:t>
            </w:r>
          </w:p>
        </w:tc>
        <w:tc>
          <w:tcPr>
            <w:tcW w:w="4485" w:type="dxa"/>
          </w:tcPr>
          <w:p w14:paraId="5CC5D316">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FR2 to FR2 intra-frequency temporal domain case A</w:t>
            </w:r>
          </w:p>
        </w:tc>
        <w:tc>
          <w:tcPr>
            <w:tcW w:w="1161" w:type="dxa"/>
          </w:tcPr>
          <w:p w14:paraId="0475FE7A">
            <w:pPr>
              <w:spacing w:before="120" w:beforeLines="50"/>
              <w:ind w:left="0" w:firstLine="0"/>
              <w:rPr>
                <w:rFonts w:hint="default" w:ascii="Times New Roman" w:hAnsi="Times New Roman" w:eastAsia="MS Mincho" w:cs="Times New Roman"/>
                <w:kern w:val="0"/>
                <w:sz w:val="20"/>
                <w:highlight w:val="yellow"/>
                <w:lang w:eastAsia="en-GB"/>
              </w:rPr>
            </w:pPr>
            <w:r>
              <w:rPr>
                <w:rFonts w:hint="default" w:ascii="Times New Roman" w:hAnsi="Times New Roman" w:eastAsia="MS Mincho" w:cs="Times New Roman"/>
                <w:kern w:val="0"/>
                <w:sz w:val="20"/>
                <w:lang w:eastAsia="en-GB"/>
              </w:rPr>
              <w:t>2</w:t>
            </w:r>
            <w:r>
              <w:rPr>
                <w:rFonts w:hint="default" w:ascii="Times New Roman" w:hAnsi="Times New Roman" w:eastAsia="MS Mincho" w:cs="Times New Roman"/>
                <w:kern w:val="0"/>
                <w:sz w:val="20"/>
                <w:vertAlign w:val="superscript"/>
                <w:lang w:eastAsia="en-GB"/>
              </w:rPr>
              <w:t>nd</w:t>
            </w:r>
            <w:r>
              <w:rPr>
                <w:rFonts w:hint="default" w:ascii="Times New Roman" w:hAnsi="Times New Roman" w:eastAsia="MS Mincho" w:cs="Times New Roman"/>
                <w:kern w:val="0"/>
                <w:sz w:val="20"/>
                <w:lang w:eastAsia="en-GB"/>
              </w:rPr>
              <w:t xml:space="preserve"> goal</w:t>
            </w:r>
          </w:p>
        </w:tc>
        <w:tc>
          <w:tcPr>
            <w:tcW w:w="1294" w:type="dxa"/>
          </w:tcPr>
          <w:p w14:paraId="3C0A4208">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Intra-cell</w:t>
            </w:r>
          </w:p>
        </w:tc>
      </w:tr>
      <w:tr w14:paraId="5E0F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0CDD8146">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5</w:t>
            </w:r>
          </w:p>
        </w:tc>
        <w:tc>
          <w:tcPr>
            <w:tcW w:w="950" w:type="dxa"/>
          </w:tcPr>
          <w:p w14:paraId="36B41C25">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Low</w:t>
            </w:r>
          </w:p>
        </w:tc>
        <w:tc>
          <w:tcPr>
            <w:tcW w:w="4485" w:type="dxa"/>
          </w:tcPr>
          <w:p w14:paraId="5D6C6404">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FR2 to FR2 intra-frequency temporal domain case B</w:t>
            </w:r>
          </w:p>
        </w:tc>
        <w:tc>
          <w:tcPr>
            <w:tcW w:w="1161" w:type="dxa"/>
          </w:tcPr>
          <w:p w14:paraId="78171412">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1</w:t>
            </w:r>
            <w:r>
              <w:rPr>
                <w:rFonts w:hint="default" w:ascii="Times New Roman" w:hAnsi="Times New Roman" w:eastAsia="MS Mincho" w:cs="Times New Roman"/>
                <w:kern w:val="0"/>
                <w:sz w:val="20"/>
                <w:vertAlign w:val="superscript"/>
                <w:lang w:eastAsia="en-GB"/>
              </w:rPr>
              <w:t>st</w:t>
            </w:r>
            <w:r>
              <w:rPr>
                <w:rFonts w:hint="default" w:ascii="Times New Roman" w:hAnsi="Times New Roman" w:eastAsia="MS Mincho" w:cs="Times New Roman"/>
                <w:kern w:val="0"/>
                <w:sz w:val="20"/>
                <w:lang w:eastAsia="en-GB"/>
              </w:rPr>
              <w:t xml:space="preserve"> goal</w:t>
            </w:r>
          </w:p>
        </w:tc>
        <w:tc>
          <w:tcPr>
            <w:tcW w:w="1294" w:type="dxa"/>
          </w:tcPr>
          <w:p w14:paraId="082FB0D1">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TBD</w:t>
            </w:r>
          </w:p>
        </w:tc>
      </w:tr>
      <w:tr w14:paraId="72E8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04A6019A">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6</w:t>
            </w:r>
          </w:p>
        </w:tc>
        <w:tc>
          <w:tcPr>
            <w:tcW w:w="950" w:type="dxa"/>
          </w:tcPr>
          <w:p w14:paraId="14374C51">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Middle</w:t>
            </w:r>
          </w:p>
        </w:tc>
        <w:tc>
          <w:tcPr>
            <w:tcW w:w="4485" w:type="dxa"/>
          </w:tcPr>
          <w:p w14:paraId="221D726C">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FR2 to FR2 intra-frequency spatial domain</w:t>
            </w:r>
          </w:p>
        </w:tc>
        <w:tc>
          <w:tcPr>
            <w:tcW w:w="1161" w:type="dxa"/>
          </w:tcPr>
          <w:p w14:paraId="037DE8C8">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1</w:t>
            </w:r>
            <w:r>
              <w:rPr>
                <w:rFonts w:hint="default" w:ascii="Times New Roman" w:hAnsi="Times New Roman" w:eastAsia="MS Mincho" w:cs="Times New Roman"/>
                <w:kern w:val="0"/>
                <w:sz w:val="20"/>
                <w:vertAlign w:val="superscript"/>
                <w:lang w:eastAsia="en-GB"/>
              </w:rPr>
              <w:t>st</w:t>
            </w:r>
            <w:r>
              <w:rPr>
                <w:rFonts w:hint="default" w:ascii="Times New Roman" w:hAnsi="Times New Roman" w:eastAsia="MS Mincho" w:cs="Times New Roman"/>
                <w:kern w:val="0"/>
                <w:sz w:val="20"/>
                <w:lang w:eastAsia="en-GB"/>
              </w:rPr>
              <w:t xml:space="preserve">  goal</w:t>
            </w:r>
          </w:p>
        </w:tc>
        <w:tc>
          <w:tcPr>
            <w:tcW w:w="1294" w:type="dxa"/>
          </w:tcPr>
          <w:p w14:paraId="1E8F6AF7">
            <w:pPr>
              <w:spacing w:before="120" w:beforeLines="50"/>
              <w:ind w:left="0" w:firstLine="0"/>
              <w:rPr>
                <w:rFonts w:hint="default" w:ascii="Times New Roman" w:hAnsi="Times New Roman" w:eastAsia="MS Mincho" w:cs="Times New Roman"/>
                <w:kern w:val="0"/>
                <w:sz w:val="20"/>
                <w:lang w:eastAsia="en-GB"/>
              </w:rPr>
            </w:pPr>
            <w:r>
              <w:rPr>
                <w:rFonts w:hint="default" w:ascii="Times New Roman" w:hAnsi="Times New Roman" w:eastAsia="MS Mincho" w:cs="Times New Roman"/>
                <w:kern w:val="0"/>
                <w:sz w:val="20"/>
                <w:lang w:eastAsia="en-GB"/>
              </w:rPr>
              <w:t>Intra-cell</w:t>
            </w:r>
          </w:p>
        </w:tc>
      </w:tr>
    </w:tbl>
    <w:p w14:paraId="44172053">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In our understanding, the temporal prediction and spatial prediction for RRM prediction are similar to BM-Case2 and BM-Case1 for beam management separately. Therefore, the cases agreed in RAN1 for </w:t>
      </w:r>
      <w:r>
        <w:rPr>
          <w:rFonts w:hint="eastAsia" w:ascii="Arial" w:hAnsi="Arial" w:cs="Arial"/>
          <w:bCs/>
          <w:sz w:val="20"/>
          <w:szCs w:val="20"/>
          <w:lang w:val="en-US" w:eastAsia="zh-CN"/>
        </w:rPr>
        <w:t>generalization performance of an AI/ML model over various scenarios/configurations for beam management can be reused for RRM measurement prediction.</w:t>
      </w:r>
    </w:p>
    <w:p w14:paraId="47DA934A">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Reuse the cases for verifying the generalization performance of an AI/ML model over various scenarios/configurations agreed in RAN1-led AI/ML for Air Interface SI for RRM measurement prediction:</w:t>
      </w:r>
    </w:p>
    <w:p w14:paraId="5F47BA5A">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b/>
          <w:bCs w:val="0"/>
          <w:sz w:val="20"/>
          <w:szCs w:val="21"/>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1: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inference/test based on the same dataset as training, e.g. the</w:t>
      </w:r>
      <w:r>
        <w:rPr>
          <w:rFonts w:hint="default" w:ascii="Arial" w:hAnsi="Arial" w:cs="Arial"/>
          <w:b/>
          <w:bCs w:val="0"/>
          <w:sz w:val="20"/>
          <w:szCs w:val="21"/>
        </w:rPr>
        <w:t xml:space="preserve"> dataset</w:t>
      </w:r>
      <w:r>
        <w:rPr>
          <w:rFonts w:hint="eastAsia" w:ascii="Arial" w:hAnsi="Arial" w:cs="Arial"/>
          <w:b/>
          <w:bCs w:val="0"/>
          <w:sz w:val="20"/>
          <w:szCs w:val="21"/>
          <w:lang w:val="en-US" w:eastAsia="zh-CN"/>
        </w:rPr>
        <w:t xml:space="preserve"> for both training and </w:t>
      </w:r>
      <w:r>
        <w:rPr>
          <w:rFonts w:hint="default" w:ascii="Arial" w:hAnsi="Arial" w:cs="Arial"/>
          <w:b/>
          <w:bCs w:val="0"/>
          <w:sz w:val="20"/>
          <w:szCs w:val="21"/>
        </w:rPr>
        <w:t>inference/test</w:t>
      </w:r>
      <w:r>
        <w:rPr>
          <w:rFonts w:hint="eastAsia" w:ascii="Arial" w:hAnsi="Arial" w:cs="Arial"/>
          <w:b/>
          <w:bCs w:val="0"/>
          <w:sz w:val="20"/>
          <w:szCs w:val="21"/>
          <w:lang w:val="en-US" w:eastAsia="zh-CN"/>
        </w:rPr>
        <w:t xml:space="preserve"> is</w:t>
      </w:r>
      <w:r>
        <w:rPr>
          <w:rFonts w:hint="default" w:ascii="Arial" w:hAnsi="Arial" w:cs="Arial"/>
          <w:b/>
          <w:bCs w:val="0"/>
          <w:sz w:val="20"/>
          <w:szCs w:val="21"/>
        </w:rPr>
        <w:t xml:space="preserve"> constructed </w:t>
      </w:r>
      <w:r>
        <w:rPr>
          <w:rFonts w:hint="eastAsia" w:ascii="Arial" w:hAnsi="Arial" w:cs="Arial"/>
          <w:b/>
          <w:bCs w:val="0"/>
          <w:sz w:val="20"/>
          <w:szCs w:val="21"/>
          <w:lang w:val="en-US" w:eastAsia="zh-CN"/>
        </w:rPr>
        <w:t xml:space="preserve">based on </w:t>
      </w:r>
      <w:r>
        <w:rPr>
          <w:rFonts w:hint="default" w:ascii="Arial" w:hAnsi="Arial" w:cs="Arial"/>
          <w:b/>
          <w:bCs w:val="0"/>
          <w:sz w:val="20"/>
          <w:szCs w:val="21"/>
        </w:rPr>
        <w:t>Scenario#B/Configuration#B</w:t>
      </w:r>
    </w:p>
    <w:p w14:paraId="418C6974">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b/>
          <w:bCs w:val="0"/>
          <w:sz w:val="20"/>
          <w:szCs w:val="21"/>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2: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inference/test based on the different dataset from training, </w:t>
      </w:r>
      <w:r>
        <w:rPr>
          <w:rFonts w:hint="default" w:ascii="Arial" w:hAnsi="Arial" w:cs="Arial"/>
          <w:b/>
          <w:bCs w:val="0"/>
          <w:sz w:val="20"/>
          <w:szCs w:val="21"/>
        </w:rPr>
        <w:t xml:space="preserve">e.g., </w:t>
      </w:r>
      <w:r>
        <w:rPr>
          <w:rFonts w:hint="eastAsia" w:ascii="Arial" w:hAnsi="Arial" w:cs="Arial"/>
          <w:b/>
          <w:bCs w:val="0"/>
          <w:sz w:val="20"/>
          <w:szCs w:val="21"/>
          <w:lang w:val="en-US" w:eastAsia="zh-CN"/>
        </w:rPr>
        <w:t xml:space="preserve">the dataset for training 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 xml:space="preserve">based on </w:t>
      </w:r>
      <w:r>
        <w:rPr>
          <w:rFonts w:hint="default" w:ascii="Arial" w:hAnsi="Arial" w:cs="Arial"/>
          <w:b/>
          <w:bCs w:val="0"/>
          <w:sz w:val="20"/>
          <w:szCs w:val="21"/>
        </w:rPr>
        <w:t xml:space="preserve">Scenario#A/Configuration#A, </w:t>
      </w:r>
      <w:r>
        <w:rPr>
          <w:rFonts w:hint="eastAsia" w:ascii="Arial" w:hAnsi="Arial" w:cs="Arial"/>
          <w:b/>
          <w:bCs w:val="0"/>
          <w:sz w:val="20"/>
          <w:szCs w:val="21"/>
          <w:lang w:val="en-US" w:eastAsia="zh-CN"/>
        </w:rPr>
        <w:t>but the dataset for</w:t>
      </w:r>
      <w:r>
        <w:rPr>
          <w:rFonts w:hint="default" w:ascii="Arial" w:hAnsi="Arial" w:cs="Arial"/>
          <w:b/>
          <w:bCs w:val="0"/>
          <w:sz w:val="20"/>
          <w:szCs w:val="21"/>
        </w:rPr>
        <w:t xml:space="preserve"> inference/test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 xml:space="preserve">based </w:t>
      </w:r>
      <w:r>
        <w:rPr>
          <w:rFonts w:hint="default" w:ascii="Arial" w:hAnsi="Arial" w:cs="Arial"/>
          <w:b/>
          <w:bCs w:val="0"/>
          <w:sz w:val="20"/>
          <w:szCs w:val="21"/>
        </w:rPr>
        <w:t>on Scenario#B/Configuration#B</w:t>
      </w:r>
    </w:p>
    <w:p w14:paraId="51B562D0">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b/>
          <w:bCs w:val="0"/>
          <w:sz w:val="20"/>
          <w:szCs w:val="21"/>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3: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inference/test based on the subset of dataset for training, e.g. </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the </w:t>
      </w:r>
      <w:r>
        <w:rPr>
          <w:rFonts w:hint="default" w:ascii="Arial" w:hAnsi="Arial" w:cs="Arial"/>
          <w:b/>
          <w:bCs w:val="0"/>
          <w:sz w:val="20"/>
          <w:szCs w:val="21"/>
        </w:rPr>
        <w:t xml:space="preserve">training dataset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by mixing datasets from multiple scenarios/configurations including Scenario#B/Configuration#B and Scenario#A/Configuration#A, </w:t>
      </w:r>
      <w:r>
        <w:rPr>
          <w:rFonts w:hint="eastAsia" w:ascii="Arial" w:hAnsi="Arial" w:cs="Arial"/>
          <w:b/>
          <w:bCs w:val="0"/>
          <w:sz w:val="20"/>
          <w:szCs w:val="21"/>
          <w:lang w:val="en-US" w:eastAsia="zh-CN"/>
        </w:rPr>
        <w:t>but</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the </w:t>
      </w:r>
      <w:r>
        <w:rPr>
          <w:rFonts w:hint="default" w:ascii="Arial" w:hAnsi="Arial" w:cs="Arial"/>
          <w:b/>
          <w:bCs w:val="0"/>
          <w:sz w:val="20"/>
          <w:szCs w:val="21"/>
        </w:rPr>
        <w:t xml:space="preserve">inference/test dataset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only based on</w:t>
      </w:r>
      <w:r>
        <w:rPr>
          <w:rFonts w:hint="default" w:ascii="Arial" w:hAnsi="Arial" w:cs="Arial"/>
          <w:b/>
          <w:bCs w:val="0"/>
          <w:sz w:val="20"/>
          <w:szCs w:val="21"/>
        </w:rPr>
        <w:t xml:space="preserve"> a single Scenario/Configuration</w:t>
      </w:r>
      <w:r>
        <w:rPr>
          <w:rFonts w:hint="eastAsia" w:ascii="Arial" w:hAnsi="Arial" w:cs="Arial"/>
          <w:b/>
          <w:bCs w:val="0"/>
          <w:sz w:val="20"/>
          <w:szCs w:val="21"/>
          <w:lang w:val="en-US" w:eastAsia="zh-CN"/>
        </w:rPr>
        <w:t xml:space="preserve"> (i.e. </w:t>
      </w:r>
      <w:r>
        <w:rPr>
          <w:rFonts w:hint="default" w:ascii="Arial" w:hAnsi="Arial" w:cs="Arial"/>
          <w:b/>
          <w:bCs w:val="0"/>
          <w:sz w:val="20"/>
          <w:szCs w:val="21"/>
        </w:rPr>
        <w:t>Scenario#B/Configuration#B</w:t>
      </w:r>
      <w:r>
        <w:rPr>
          <w:rFonts w:hint="eastAsia" w:ascii="Arial" w:hAnsi="Arial" w:cs="Arial"/>
          <w:b/>
          <w:bCs w:val="0"/>
          <w:sz w:val="20"/>
          <w:szCs w:val="21"/>
          <w:lang w:val="en-US" w:eastAsia="zh-CN"/>
        </w:rPr>
        <w:t>)</w:t>
      </w:r>
    </w:p>
    <w:p w14:paraId="22F32494">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To verify the generalization performance of an AI/ML model over various scenarios or configurations, the considered scenarios or configurations which may impact the model performance should be discussed per sub use case. During RAN1 discussion, various deployment scenarios, outdoor/indoor UE distributions and UE mobility, UE parameters, gNB settings, Set B of beam (pairs), and T1 for measurement /T2 for prediction for BM-Case2 are considered.</w:t>
      </w:r>
    </w:p>
    <w:p w14:paraId="1B273A3A">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 xml:space="preserve">Based on the agreed simulation assumptions on FR1 and FR2, the deployment scenarios and UE distribution are fixed, but </w:t>
      </w:r>
      <w:r>
        <w:rPr>
          <w:rFonts w:hint="default" w:ascii="Arial" w:hAnsi="Arial" w:cs="Arial"/>
          <w:bCs/>
          <w:sz w:val="20"/>
          <w:szCs w:val="20"/>
          <w:lang w:val="en-US" w:eastAsia="zh-CN"/>
        </w:rPr>
        <w:t xml:space="preserve">BS </w:t>
      </w:r>
      <w:r>
        <w:rPr>
          <w:rFonts w:hint="eastAsia" w:ascii="Arial" w:hAnsi="Arial" w:cs="Arial"/>
          <w:bCs/>
          <w:sz w:val="20"/>
          <w:szCs w:val="20"/>
          <w:lang w:val="en-US" w:eastAsia="zh-CN"/>
        </w:rPr>
        <w:t>a</w:t>
      </w:r>
      <w:r>
        <w:rPr>
          <w:rFonts w:hint="default" w:ascii="Arial" w:hAnsi="Arial" w:cs="Arial"/>
          <w:bCs/>
          <w:sz w:val="20"/>
          <w:szCs w:val="20"/>
          <w:lang w:val="en-US" w:eastAsia="zh-CN"/>
        </w:rPr>
        <w:t xml:space="preserve">ntenna </w:t>
      </w:r>
      <w:r>
        <w:rPr>
          <w:rFonts w:hint="eastAsia" w:ascii="Arial" w:hAnsi="Arial" w:cs="Arial"/>
          <w:bCs/>
          <w:sz w:val="20"/>
          <w:szCs w:val="20"/>
          <w:lang w:val="en-US" w:eastAsia="zh-CN"/>
        </w:rPr>
        <w:t>c</w:t>
      </w:r>
      <w:r>
        <w:rPr>
          <w:rFonts w:hint="default" w:ascii="Arial" w:hAnsi="Arial" w:cs="Arial"/>
          <w:bCs/>
          <w:sz w:val="20"/>
          <w:szCs w:val="20"/>
          <w:lang w:val="en-US" w:eastAsia="zh-CN"/>
        </w:rPr>
        <w:t>onfiguration</w:t>
      </w:r>
      <w:r>
        <w:rPr>
          <w:rFonts w:hint="eastAsia" w:ascii="Arial" w:hAnsi="Arial" w:cs="Arial"/>
          <w:bCs/>
          <w:sz w:val="20"/>
          <w:szCs w:val="20"/>
          <w:lang w:val="en-US" w:eastAsia="zh-CN"/>
        </w:rPr>
        <w:t>, UE antenna configuration, UE speed, MRRT, and OW/PW are various.</w:t>
      </w:r>
    </w:p>
    <w:tbl>
      <w:tblPr>
        <w:tblStyle w:val="14"/>
        <w:tblW w:w="9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4359"/>
        <w:gridCol w:w="4164"/>
      </w:tblGrid>
      <w:tr w14:paraId="27D5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D9D9D9"/>
          </w:tcPr>
          <w:p w14:paraId="14922ECE">
            <w:pPr>
              <w:pStyle w:val="37"/>
              <w:keepNext w:val="0"/>
              <w:keepLines w:val="0"/>
              <w:jc w:val="center"/>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4359" w:type="dxa"/>
            <w:shd w:val="clear" w:color="auto" w:fill="D9D9D9"/>
          </w:tcPr>
          <w:p w14:paraId="173BB5D0">
            <w:pPr>
              <w:pStyle w:val="37"/>
              <w:keepNext w:val="0"/>
              <w:keepLines w:val="0"/>
              <w:jc w:val="cente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rPr>
              <w:t>Value</w:t>
            </w:r>
            <w:r>
              <w:rPr>
                <w:rFonts w:hint="default" w:ascii="Times New Roman" w:hAnsi="Times New Roman" w:cs="Times New Roman"/>
                <w:sz w:val="20"/>
                <w:szCs w:val="20"/>
                <w:lang w:val="en-US" w:eastAsia="zh-CN"/>
              </w:rPr>
              <w:t xml:space="preserve"> for FR1</w:t>
            </w:r>
          </w:p>
        </w:tc>
        <w:tc>
          <w:tcPr>
            <w:tcW w:w="4164" w:type="dxa"/>
            <w:shd w:val="clear" w:color="auto" w:fill="D9D9D9"/>
          </w:tcPr>
          <w:p w14:paraId="1468CF29">
            <w:pPr>
              <w:pStyle w:val="37"/>
              <w:keepNext w:val="0"/>
              <w:keepLines w:val="0"/>
              <w:jc w:val="center"/>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rPr>
              <w:t>Value</w:t>
            </w:r>
            <w:r>
              <w:rPr>
                <w:rFonts w:hint="default" w:ascii="Times New Roman" w:hAnsi="Times New Roman" w:cs="Times New Roman"/>
                <w:sz w:val="20"/>
                <w:szCs w:val="20"/>
                <w:lang w:val="en-US" w:eastAsia="zh-CN"/>
              </w:rPr>
              <w:t xml:space="preserve"> for FR2</w:t>
            </w:r>
          </w:p>
        </w:tc>
      </w:tr>
      <w:tr w14:paraId="6FEC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4FFFF608">
            <w:pPr>
              <w:pStyle w:val="39"/>
              <w:keepNext w:val="0"/>
              <w:keepLines w:val="0"/>
              <w:rPr>
                <w:rFonts w:hint="default" w:ascii="Times New Roman" w:hAnsi="Times New Roman" w:cs="Times New Roman"/>
                <w:sz w:val="20"/>
                <w:szCs w:val="20"/>
                <w:highlight w:val="none"/>
              </w:rPr>
            </w:pPr>
            <w:r>
              <w:rPr>
                <w:rFonts w:hint="default" w:ascii="Times New Roman" w:hAnsi="Times New Roman" w:eastAsia="Microsoft YaHei UI" w:cs="Times New Roman"/>
                <w:color w:val="000000"/>
                <w:sz w:val="20"/>
                <w:szCs w:val="20"/>
                <w:highlight w:val="none"/>
              </w:rPr>
              <w:t>Frequency Range</w:t>
            </w:r>
          </w:p>
        </w:tc>
        <w:tc>
          <w:tcPr>
            <w:tcW w:w="4359" w:type="dxa"/>
          </w:tcPr>
          <w:p w14:paraId="42F31301">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FR1@{4GHz,30KHz} as central frequency for intra-frequency scenario</w:t>
            </w:r>
          </w:p>
          <w:p w14:paraId="084D5FD0">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FR1@{2GHz,15Khz} as another frequency for inter-frequency scenario</w:t>
            </w:r>
          </w:p>
        </w:tc>
        <w:tc>
          <w:tcPr>
            <w:tcW w:w="4164" w:type="dxa"/>
            <w:shd w:val="clear" w:color="auto" w:fill="auto"/>
            <w:vAlign w:val="top"/>
          </w:tcPr>
          <w:p w14:paraId="68BF422A">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cs="Times New Roman"/>
                <w:sz w:val="20"/>
                <w:szCs w:val="20"/>
              </w:rPr>
              <w:t>FR2 @ 30 GHz; SCS: 120 kHz</w:t>
            </w:r>
          </w:p>
        </w:tc>
      </w:tr>
      <w:tr w14:paraId="48DF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307EACD9">
            <w:pPr>
              <w:pStyle w:val="39"/>
              <w:keepNext w:val="0"/>
              <w:keepLines w:val="0"/>
              <w:rPr>
                <w:rFonts w:hint="default" w:ascii="Times New Roman" w:hAnsi="Times New Roman" w:cs="Times New Roman"/>
                <w:sz w:val="20"/>
                <w:szCs w:val="20"/>
                <w:highlight w:val="none"/>
              </w:rPr>
            </w:pPr>
            <w:r>
              <w:rPr>
                <w:rFonts w:hint="default" w:ascii="Times New Roman" w:hAnsi="Times New Roman" w:eastAsia="Microsoft YaHei UI" w:cs="Times New Roman"/>
                <w:color w:val="000000"/>
                <w:sz w:val="20"/>
                <w:szCs w:val="20"/>
                <w:highlight w:val="none"/>
              </w:rPr>
              <w:t>Deployment</w:t>
            </w:r>
          </w:p>
        </w:tc>
        <w:tc>
          <w:tcPr>
            <w:tcW w:w="4359" w:type="dxa"/>
          </w:tcPr>
          <w:p w14:paraId="35F14D8F">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 xml:space="preserve">500m ISD, </w:t>
            </w:r>
            <w:r>
              <w:rPr>
                <w:rFonts w:hint="default" w:ascii="Times New Roman" w:hAnsi="Times New Roman" w:cs="Times New Roman"/>
                <w:sz w:val="20"/>
                <w:szCs w:val="20"/>
              </w:rPr>
              <w:t>2-tier model (7 sites, 3 sectors/cells per site)</w:t>
            </w:r>
          </w:p>
        </w:tc>
        <w:tc>
          <w:tcPr>
            <w:tcW w:w="4164" w:type="dxa"/>
            <w:shd w:val="clear" w:color="auto" w:fill="auto"/>
            <w:vAlign w:val="top"/>
          </w:tcPr>
          <w:p w14:paraId="46E73932">
            <w:pPr>
              <w:pStyle w:val="38"/>
              <w:keepNext w:val="0"/>
              <w:keepLines w:val="0"/>
              <w:jc w:val="left"/>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200m ISD, 2-tier model (7 sites, 3 sectors/cells per site)</w:t>
            </w:r>
          </w:p>
        </w:tc>
      </w:tr>
      <w:tr w14:paraId="54686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055935E9">
            <w:pPr>
              <w:pStyle w:val="39"/>
              <w:keepNext w:val="0"/>
              <w:keepLines w:val="0"/>
              <w:rPr>
                <w:rFonts w:hint="default" w:ascii="Times New Roman" w:hAnsi="Times New Roman" w:cs="Times New Roman"/>
                <w:sz w:val="20"/>
                <w:szCs w:val="20"/>
                <w:highlight w:val="none"/>
              </w:rPr>
            </w:pPr>
            <w:r>
              <w:rPr>
                <w:rFonts w:hint="default" w:ascii="Times New Roman" w:hAnsi="Times New Roman" w:eastAsia="Microsoft YaHei UI" w:cs="Times New Roman"/>
                <w:color w:val="000000"/>
                <w:sz w:val="20"/>
                <w:szCs w:val="20"/>
                <w:highlight w:val="none"/>
              </w:rPr>
              <w:t>Channel model</w:t>
            </w:r>
          </w:p>
        </w:tc>
        <w:tc>
          <w:tcPr>
            <w:tcW w:w="4359" w:type="dxa"/>
          </w:tcPr>
          <w:p w14:paraId="2AE9D537">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highlight w:val="none"/>
              </w:rPr>
              <w:t>UMa</w:t>
            </w:r>
            <w:r>
              <w:rPr>
                <w:rFonts w:hint="default" w:ascii="Times New Roman" w:hAnsi="Times New Roman" w:cs="Times New Roman"/>
                <w:sz w:val="20"/>
                <w:szCs w:val="20"/>
              </w:rPr>
              <w:t xml:space="preserve"> with distance-dependent LoS probability function defined in Table 7.4.2-1 in TR 38.901</w:t>
            </w:r>
          </w:p>
          <w:p w14:paraId="285B224C">
            <w:pPr>
              <w:pStyle w:val="39"/>
              <w:keepNext w:val="0"/>
              <w:keepLines w:val="0"/>
              <w:rPr>
                <w:rFonts w:hint="default" w:ascii="Times New Roman" w:hAnsi="Times New Roman" w:cs="Times New Roman"/>
                <w:sz w:val="20"/>
                <w:szCs w:val="20"/>
              </w:rPr>
            </w:pPr>
            <w:bookmarkStart w:id="0" w:name="OLE_LINK2"/>
            <w:r>
              <w:rPr>
                <w:rFonts w:hint="default" w:ascii="Times New Roman" w:hAnsi="Times New Roman" w:cs="Times New Roman"/>
                <w:sz w:val="20"/>
                <w:szCs w:val="20"/>
                <w:highlight w:val="none"/>
              </w:rPr>
              <w:t>Fast fading</w:t>
            </w:r>
            <w:bookmarkEnd w:id="0"/>
            <w:r>
              <w:rPr>
                <w:rFonts w:hint="default" w:ascii="Times New Roman" w:hAnsi="Times New Roman" w:cs="Times New Roman"/>
                <w:sz w:val="20"/>
                <w:szCs w:val="20"/>
                <w:highlight w:val="none"/>
              </w:rPr>
              <w:t xml:space="preserve"> is necessary for RRM sub case 1, 2 and 3.</w:t>
            </w:r>
            <w:r>
              <w:rPr>
                <w:rFonts w:hint="default" w:ascii="Times New Roman" w:hAnsi="Times New Roman" w:cs="Times New Roman"/>
                <w:sz w:val="20"/>
                <w:szCs w:val="20"/>
              </w:rPr>
              <w:t xml:space="preserve"> </w:t>
            </w:r>
          </w:p>
          <w:p w14:paraId="29720D30">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 xml:space="preserve">LOSsoft is optional modelled.(LOSsoft is not </w:t>
            </w:r>
            <w:r>
              <w:rPr>
                <w:rFonts w:hint="default" w:ascii="Times New Roman" w:hAnsi="Times New Roman" w:cs="Times New Roman" w:eastAsiaTheme="minorEastAsia"/>
                <w:sz w:val="20"/>
                <w:szCs w:val="20"/>
              </w:rPr>
              <w:t>considered</w:t>
            </w:r>
            <w:r>
              <w:rPr>
                <w:rFonts w:hint="default" w:ascii="Times New Roman" w:hAnsi="Times New Roman" w:cs="Times New Roman"/>
                <w:sz w:val="20"/>
                <w:szCs w:val="20"/>
              </w:rPr>
              <w:t>)</w:t>
            </w:r>
          </w:p>
          <w:p w14:paraId="3E6DDAB2">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Oxygen absorption, Time-varying Doppler shift , Explicit ground reflection model and blockage are not considered.</w:t>
            </w:r>
          </w:p>
        </w:tc>
        <w:tc>
          <w:tcPr>
            <w:tcW w:w="4164" w:type="dxa"/>
            <w:shd w:val="clear" w:color="auto" w:fill="auto"/>
            <w:vAlign w:val="top"/>
          </w:tcPr>
          <w:p w14:paraId="1ED85DD4">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highlight w:val="none"/>
              </w:rPr>
              <w:t>UMi</w:t>
            </w:r>
            <w:r>
              <w:rPr>
                <w:rFonts w:hint="default" w:ascii="Times New Roman" w:hAnsi="Times New Roman" w:cs="Times New Roman"/>
                <w:sz w:val="20"/>
                <w:szCs w:val="20"/>
              </w:rPr>
              <w:t xml:space="preserve"> with distance-dependent LoS probability function defined in Table 7.4.2-1 in TR 38.901 as baseline channel modelling</w:t>
            </w:r>
          </w:p>
          <w:p w14:paraId="29AFC2FF">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highlight w:val="none"/>
              </w:rPr>
              <w:t>Fast fading is necessary for RRM sub case 1, 2 and 3.</w:t>
            </w:r>
            <w:r>
              <w:rPr>
                <w:rFonts w:hint="default" w:ascii="Times New Roman" w:hAnsi="Times New Roman" w:cs="Times New Roman"/>
                <w:sz w:val="20"/>
                <w:szCs w:val="20"/>
              </w:rPr>
              <w:t xml:space="preserve"> </w:t>
            </w:r>
          </w:p>
          <w:p w14:paraId="1ED264F6">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 xml:space="preserve">LOSsoft is optional modelled.(LOSsoft is not </w:t>
            </w:r>
            <w:r>
              <w:rPr>
                <w:rFonts w:hint="default" w:ascii="Times New Roman" w:hAnsi="Times New Roman" w:cs="Times New Roman" w:eastAsiaTheme="minorEastAsia"/>
                <w:sz w:val="20"/>
                <w:szCs w:val="20"/>
              </w:rPr>
              <w:t>considered</w:t>
            </w:r>
            <w:r>
              <w:rPr>
                <w:rFonts w:hint="default" w:ascii="Times New Roman" w:hAnsi="Times New Roman" w:cs="Times New Roman"/>
                <w:sz w:val="20"/>
                <w:szCs w:val="20"/>
              </w:rPr>
              <w:t>)</w:t>
            </w:r>
          </w:p>
          <w:p w14:paraId="25C4B09A">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eastAsia="Microsoft YaHei UI" w:cs="Times New Roman"/>
                <w:color w:val="000000"/>
                <w:sz w:val="20"/>
                <w:szCs w:val="20"/>
              </w:rPr>
              <w:t>Oxygen absorption, Time-varying Doppler shift , Explicit ground reflection model and blockage are not considered.</w:t>
            </w:r>
          </w:p>
        </w:tc>
      </w:tr>
      <w:tr w14:paraId="39A0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160BF137">
            <w:pPr>
              <w:pStyle w:val="39"/>
              <w:keepNext w:val="0"/>
              <w:keepLines w:val="0"/>
              <w:rPr>
                <w:rFonts w:hint="default" w:ascii="Times New Roman" w:hAnsi="Times New Roman" w:cs="Times New Roman"/>
                <w:sz w:val="20"/>
                <w:szCs w:val="20"/>
                <w:highlight w:val="none"/>
              </w:rPr>
            </w:pPr>
            <w:r>
              <w:rPr>
                <w:rFonts w:hint="default" w:ascii="Times New Roman" w:hAnsi="Times New Roman" w:eastAsia="Microsoft YaHei UI" w:cs="Times New Roman"/>
                <w:color w:val="000000"/>
                <w:sz w:val="20"/>
                <w:szCs w:val="20"/>
                <w:highlight w:val="none"/>
              </w:rPr>
              <w:t>System BW</w:t>
            </w:r>
          </w:p>
        </w:tc>
        <w:tc>
          <w:tcPr>
            <w:tcW w:w="4359" w:type="dxa"/>
          </w:tcPr>
          <w:p w14:paraId="5F8F79DE">
            <w:pPr>
              <w:pStyle w:val="38"/>
              <w:keepNext w:val="0"/>
              <w:keepLines w:val="0"/>
              <w:jc w:val="left"/>
              <w:rPr>
                <w:rFonts w:hint="default" w:ascii="Times New Roman" w:hAnsi="Times New Roman" w:cs="Times New Roman" w:eastAsiaTheme="minorEastAsia"/>
                <w:color w:val="000000"/>
                <w:sz w:val="20"/>
                <w:szCs w:val="20"/>
              </w:rPr>
            </w:pPr>
            <w:r>
              <w:rPr>
                <w:rFonts w:hint="default" w:ascii="Times New Roman" w:hAnsi="Times New Roman" w:cs="Times New Roman" w:eastAsiaTheme="minorEastAsia"/>
                <w:sz w:val="20"/>
                <w:szCs w:val="20"/>
              </w:rPr>
              <w:t>20MHz</w:t>
            </w:r>
          </w:p>
        </w:tc>
        <w:tc>
          <w:tcPr>
            <w:tcW w:w="4164" w:type="dxa"/>
            <w:shd w:val="clear" w:color="auto" w:fill="auto"/>
            <w:vAlign w:val="top"/>
          </w:tcPr>
          <w:p w14:paraId="768B957E">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cs="Times New Roman"/>
                <w:sz w:val="20"/>
                <w:szCs w:val="20"/>
              </w:rPr>
              <w:t>80MHz</w:t>
            </w:r>
          </w:p>
        </w:tc>
      </w:tr>
      <w:tr w14:paraId="6A20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0264920B">
            <w:pPr>
              <w:pStyle w:val="39"/>
              <w:keepNext w:val="0"/>
              <w:keepLines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UE distribution</w:t>
            </w:r>
          </w:p>
        </w:tc>
        <w:tc>
          <w:tcPr>
            <w:tcW w:w="4359" w:type="dxa"/>
          </w:tcPr>
          <w:p w14:paraId="216A1C54">
            <w:pPr>
              <w:spacing w:after="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100% outdoor</w:t>
            </w:r>
          </w:p>
        </w:tc>
        <w:tc>
          <w:tcPr>
            <w:tcW w:w="4164" w:type="dxa"/>
            <w:shd w:val="clear" w:color="auto" w:fill="auto"/>
            <w:vAlign w:val="top"/>
          </w:tcPr>
          <w:p w14:paraId="263142F7">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100% outdoor</w:t>
            </w:r>
          </w:p>
        </w:tc>
      </w:tr>
      <w:tr w14:paraId="7C8C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4F77612A">
            <w:pPr>
              <w:pStyle w:val="39"/>
              <w:keepNext w:val="0"/>
              <w:keepLines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yellow"/>
              </w:rPr>
              <w:t>BS Antenna Configuration</w:t>
            </w:r>
          </w:p>
        </w:tc>
        <w:tc>
          <w:tcPr>
            <w:tcW w:w="4359" w:type="dxa"/>
          </w:tcPr>
          <w:p w14:paraId="769873A3">
            <w:pPr>
              <w:keepNext/>
              <w:keepLines/>
              <w:spacing w:after="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Companies need to report which option(s) are used between</w:t>
            </w:r>
          </w:p>
          <w:p w14:paraId="324E21C5">
            <w:pPr>
              <w:keepNext/>
              <w:keepLines/>
              <w:spacing w:after="0"/>
              <w:rPr>
                <w:rFonts w:hint="default" w:ascii="Times New Roman" w:hAnsi="Times New Roman" w:cs="Times New Roman"/>
                <w:color w:val="000000"/>
                <w:sz w:val="20"/>
                <w:szCs w:val="20"/>
                <w:lang w:val="fr-FR"/>
              </w:rPr>
            </w:pPr>
            <w:r>
              <w:rPr>
                <w:rFonts w:hint="default" w:ascii="Times New Roman" w:hAnsi="Times New Roman" w:cs="Times New Roman"/>
                <w:color w:val="000000"/>
                <w:sz w:val="20"/>
                <w:szCs w:val="20"/>
                <w:lang w:val="fr-FR"/>
              </w:rPr>
              <w:t>- 32 ports: (8,8,2,1,1,2,8), (dH,dV) = (0.5, 0.8)</w:t>
            </w:r>
            <w:r>
              <w:rPr>
                <w:rFonts w:hint="default" w:ascii="Times New Roman" w:hAnsi="Times New Roman" w:cs="Times New Roman"/>
                <w:color w:val="000000"/>
                <w:sz w:val="20"/>
                <w:szCs w:val="20"/>
              </w:rPr>
              <w:t>λ</w:t>
            </w:r>
          </w:p>
          <w:p w14:paraId="6C3BBE8A">
            <w:pPr>
              <w:keepNext/>
              <w:keepLines/>
              <w:spacing w:after="0"/>
              <w:rPr>
                <w:rFonts w:hint="default" w:ascii="Times New Roman" w:hAnsi="Times New Roman" w:cs="Times New Roman"/>
                <w:color w:val="000000"/>
                <w:sz w:val="20"/>
                <w:szCs w:val="20"/>
                <w:lang w:val="fr-FR"/>
              </w:rPr>
            </w:pPr>
            <w:r>
              <w:rPr>
                <w:rFonts w:hint="default" w:ascii="Times New Roman" w:hAnsi="Times New Roman" w:cs="Times New Roman"/>
                <w:color w:val="000000"/>
                <w:sz w:val="20"/>
                <w:szCs w:val="20"/>
                <w:lang w:val="fr-FR"/>
              </w:rPr>
              <w:t>- 16 ports: (8,4,2,1,1,2,4), (dH,dV) = (0.5, 0.8)</w:t>
            </w:r>
            <w:r>
              <w:rPr>
                <w:rFonts w:hint="default" w:ascii="Times New Roman" w:hAnsi="Times New Roman" w:cs="Times New Roman"/>
                <w:color w:val="000000"/>
                <w:sz w:val="20"/>
                <w:szCs w:val="20"/>
              </w:rPr>
              <w:t>λ</w:t>
            </w:r>
          </w:p>
          <w:p w14:paraId="394C4829">
            <w:pPr>
              <w:pStyle w:val="39"/>
              <w:keepNext w:val="0"/>
              <w:keepLines w:val="0"/>
              <w:rPr>
                <w:rFonts w:hint="default" w:ascii="Times New Roman" w:hAnsi="Times New Roman" w:cs="Times New Roman"/>
                <w:sz w:val="20"/>
                <w:szCs w:val="20"/>
              </w:rPr>
            </w:pPr>
            <w:r>
              <w:rPr>
                <w:rFonts w:hint="default" w:ascii="Times New Roman" w:hAnsi="Times New Roman" w:eastAsia="宋体" w:cs="Times New Roman"/>
                <w:color w:val="000000"/>
                <w:sz w:val="20"/>
                <w:szCs w:val="20"/>
              </w:rPr>
              <w:t>Other configurations are not precluded.</w:t>
            </w:r>
          </w:p>
        </w:tc>
        <w:tc>
          <w:tcPr>
            <w:tcW w:w="4164" w:type="dxa"/>
            <w:shd w:val="clear" w:color="auto" w:fill="auto"/>
            <w:vAlign w:val="top"/>
          </w:tcPr>
          <w:p w14:paraId="7E6A8D4C">
            <w:pPr>
              <w:spacing w:after="0"/>
              <w:rPr>
                <w:rFonts w:hint="default" w:ascii="Times New Roman" w:hAnsi="Times New Roman" w:cs="Times New Roman"/>
                <w:sz w:val="20"/>
                <w:szCs w:val="20"/>
              </w:rPr>
            </w:pPr>
            <w:r>
              <w:rPr>
                <w:rFonts w:hint="default" w:ascii="Times New Roman" w:hAnsi="Times New Roman" w:cs="Times New Roman"/>
                <w:sz w:val="20"/>
                <w:szCs w:val="20"/>
              </w:rPr>
              <w:t>Antenna setup and port layouts at gNB: (4, 8, 2, 1, 1, 1, 1), (dV, dH) = (0.5, 0.5) λ</w:t>
            </w:r>
          </w:p>
          <w:p w14:paraId="3F6B1113">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Other assumptions are not precluded.</w:t>
            </w:r>
          </w:p>
          <w:p w14:paraId="54D1553D">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 xml:space="preserve"> </w:t>
            </w:r>
          </w:p>
          <w:p w14:paraId="09BF8FD9">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14:paraId="44DDF82B">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Companies to explain beam selection.</w:t>
            </w:r>
          </w:p>
          <w:p w14:paraId="2D65F0BB">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Number of BS beams: 32 or 64 downlink Tx beams (max number of available beams) at NW side. Other values, e.g., 256 not precluded.</w:t>
            </w:r>
          </w:p>
        </w:tc>
      </w:tr>
      <w:tr w14:paraId="0825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2BAF760E">
            <w:pPr>
              <w:pStyle w:val="39"/>
              <w:keepNext w:val="0"/>
              <w:keepLines w:val="0"/>
              <w:rPr>
                <w:rFonts w:hint="default" w:ascii="Times New Roman" w:hAnsi="Times New Roman" w:cs="Times New Roman"/>
                <w:sz w:val="20"/>
                <w:szCs w:val="20"/>
              </w:rPr>
            </w:pPr>
            <w:r>
              <w:rPr>
                <w:rFonts w:hint="default" w:ascii="Times New Roman" w:hAnsi="Times New Roman" w:eastAsia="Microsoft YaHei UI" w:cs="Times New Roman"/>
                <w:color w:val="000000"/>
                <w:sz w:val="20"/>
                <w:szCs w:val="20"/>
              </w:rPr>
              <w:t>BS Antenna radiation pattern</w:t>
            </w:r>
          </w:p>
        </w:tc>
        <w:tc>
          <w:tcPr>
            <w:tcW w:w="4359" w:type="dxa"/>
          </w:tcPr>
          <w:p w14:paraId="19AB026B">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cs="Times New Roman"/>
                <w:sz w:val="20"/>
                <w:szCs w:val="20"/>
              </w:rPr>
              <w:t>3-sector antenna radiation pattern, 8 dBi</w:t>
            </w:r>
          </w:p>
        </w:tc>
        <w:tc>
          <w:tcPr>
            <w:tcW w:w="4164" w:type="dxa"/>
            <w:shd w:val="clear" w:color="auto" w:fill="auto"/>
            <w:vAlign w:val="top"/>
          </w:tcPr>
          <w:p w14:paraId="4CB69F54">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eastAsia="Microsoft YaHei UI" w:cs="Times New Roman"/>
                <w:color w:val="000000"/>
                <w:sz w:val="20"/>
                <w:szCs w:val="20"/>
              </w:rPr>
              <w:t>TR 38.802 Table A.2.1-6,</w:t>
            </w:r>
          </w:p>
        </w:tc>
      </w:tr>
      <w:tr w14:paraId="7A9A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219D0DCD">
            <w:pPr>
              <w:pStyle w:val="39"/>
              <w:keepNext w:val="0"/>
              <w:keepLines w:val="0"/>
              <w:rPr>
                <w:rFonts w:hint="default" w:ascii="Times New Roman" w:hAnsi="Times New Roman" w:cs="Times New Roman"/>
                <w:sz w:val="20"/>
                <w:szCs w:val="20"/>
                <w:highlight w:val="none"/>
              </w:rPr>
            </w:pPr>
            <w:r>
              <w:rPr>
                <w:rFonts w:hint="default" w:ascii="Times New Roman" w:hAnsi="Times New Roman" w:eastAsia="Microsoft YaHei UI" w:cs="Times New Roman"/>
                <w:color w:val="000000"/>
                <w:sz w:val="20"/>
                <w:szCs w:val="20"/>
                <w:highlight w:val="yellow"/>
              </w:rPr>
              <w:t>UE Antenna Configuration</w:t>
            </w:r>
          </w:p>
        </w:tc>
        <w:tc>
          <w:tcPr>
            <w:tcW w:w="4359" w:type="dxa"/>
          </w:tcPr>
          <w:p w14:paraId="121BBA73">
            <w:pPr>
              <w:spacing w:after="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4RX: (1,2,2,1,1,1,2), (dH,dV) = (0.5, 0.5)λ for (rank 1-4)</w:t>
            </w:r>
          </w:p>
          <w:p w14:paraId="09AED61E">
            <w:pPr>
              <w:spacing w:after="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2RX: (1,1,2,1,1,1,1), (dH,dV) = (0.5, 0.5)λ for (rank 1,2)</w:t>
            </w:r>
          </w:p>
          <w:p w14:paraId="789D2970">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宋体" w:cs="Times New Roman"/>
                <w:color w:val="000000"/>
                <w:sz w:val="20"/>
                <w:szCs w:val="20"/>
              </w:rPr>
              <w:t>Other configuration is not precluded.</w:t>
            </w:r>
          </w:p>
        </w:tc>
        <w:tc>
          <w:tcPr>
            <w:tcW w:w="4164" w:type="dxa"/>
            <w:shd w:val="clear" w:color="auto" w:fill="auto"/>
            <w:vAlign w:val="top"/>
          </w:tcPr>
          <w:p w14:paraId="7E839E32">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Antenna setup and port layouts at UE: (1, 4, 2, 1, 2, 1, 1), 2 panels (left, right)</w:t>
            </w:r>
          </w:p>
          <w:p w14:paraId="247F2F33">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Other assumptions are not precluded</w:t>
            </w:r>
          </w:p>
          <w:p w14:paraId="2D0EF2D0">
            <w:pPr>
              <w:pStyle w:val="38"/>
              <w:keepNext w:val="0"/>
              <w:keepLines w:val="0"/>
              <w:jc w:val="left"/>
              <w:rPr>
                <w:rFonts w:hint="default" w:ascii="Times New Roman" w:hAnsi="Times New Roman" w:cs="Times New Roman"/>
                <w:sz w:val="20"/>
                <w:szCs w:val="20"/>
              </w:rPr>
            </w:pPr>
          </w:p>
          <w:p w14:paraId="6D28105D">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14:paraId="12E46C02">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Companies to explain beam and panel selection.</w:t>
            </w:r>
          </w:p>
          <w:p w14:paraId="07FCB03D">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cs="Times New Roman"/>
                <w:sz w:val="20"/>
                <w:szCs w:val="20"/>
              </w:rPr>
              <w:t>Number of UE beams: 4 or 8 downlink Rx beams (max number of available beams) per UE panel at UE side. Other values, e.g., 16 not precluded.</w:t>
            </w:r>
          </w:p>
        </w:tc>
      </w:tr>
      <w:tr w14:paraId="78BF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5F1DAB37">
            <w:pPr>
              <w:pStyle w:val="39"/>
              <w:keepNext w:val="0"/>
              <w:keepLines w:val="0"/>
              <w:rPr>
                <w:rFonts w:hint="default" w:ascii="Times New Roman" w:hAnsi="Times New Roman" w:cs="Times New Roman"/>
                <w:sz w:val="20"/>
                <w:szCs w:val="20"/>
              </w:rPr>
            </w:pPr>
            <w:r>
              <w:rPr>
                <w:rFonts w:hint="default" w:ascii="Times New Roman" w:hAnsi="Times New Roman" w:eastAsia="Microsoft YaHei UI" w:cs="Times New Roman"/>
                <w:color w:val="000000"/>
                <w:sz w:val="20"/>
                <w:szCs w:val="20"/>
              </w:rPr>
              <w:t>UE Antenna radiation pattern</w:t>
            </w:r>
          </w:p>
        </w:tc>
        <w:tc>
          <w:tcPr>
            <w:tcW w:w="4359" w:type="dxa"/>
          </w:tcPr>
          <w:p w14:paraId="7C1CE0E6">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Omni-direction</w:t>
            </w:r>
          </w:p>
        </w:tc>
        <w:tc>
          <w:tcPr>
            <w:tcW w:w="4164" w:type="dxa"/>
            <w:shd w:val="clear" w:color="auto" w:fill="auto"/>
            <w:vAlign w:val="top"/>
          </w:tcPr>
          <w:p w14:paraId="206D95B5">
            <w:pPr>
              <w:pStyle w:val="39"/>
              <w:keepNext w:val="0"/>
              <w:keepLines w:val="0"/>
              <w:rPr>
                <w:rFonts w:hint="default" w:ascii="Times New Roman" w:hAnsi="Times New Roman" w:eastAsia="Microsoft YaHei UI" w:cs="Times New Roman"/>
                <w:color w:val="000000"/>
                <w:kern w:val="2"/>
                <w:sz w:val="20"/>
                <w:szCs w:val="20"/>
                <w:lang w:val="en-US" w:eastAsia="zh-CN" w:bidi="ar-SA"/>
              </w:rPr>
            </w:pPr>
            <w:r>
              <w:rPr>
                <w:rFonts w:hint="default" w:ascii="Times New Roman" w:hAnsi="Times New Roman" w:cs="Times New Roman"/>
                <w:sz w:val="20"/>
                <w:szCs w:val="20"/>
              </w:rPr>
              <w:t xml:space="preserve">TR 38.802 Table A.2.1-8, </w:t>
            </w:r>
          </w:p>
        </w:tc>
      </w:tr>
      <w:tr w14:paraId="1248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6AFBA334">
            <w:pPr>
              <w:pStyle w:val="39"/>
              <w:keepNext w:val="0"/>
              <w:keepLines w:val="0"/>
              <w:rPr>
                <w:rFonts w:hint="default" w:ascii="Times New Roman" w:hAnsi="Times New Roman" w:eastAsia="Microsoft YaHei UI" w:cs="Times New Roman"/>
                <w:color w:val="000000"/>
                <w:sz w:val="20"/>
                <w:szCs w:val="20"/>
              </w:rPr>
            </w:pPr>
            <w:r>
              <w:rPr>
                <w:rFonts w:hint="default" w:ascii="Times New Roman" w:hAnsi="Times New Roman" w:cs="Times New Roman"/>
                <w:sz w:val="20"/>
                <w:szCs w:val="20"/>
              </w:rPr>
              <w:t>BS Tx Power</w:t>
            </w:r>
          </w:p>
        </w:tc>
        <w:tc>
          <w:tcPr>
            <w:tcW w:w="4359" w:type="dxa"/>
          </w:tcPr>
          <w:p w14:paraId="0A4F4E05">
            <w:pPr>
              <w:pStyle w:val="39"/>
              <w:keepNext w:val="0"/>
              <w:keepLines w:val="0"/>
              <w:rPr>
                <w:rFonts w:hint="default" w:ascii="Times New Roman" w:hAnsi="Times New Roman" w:cs="Times New Roman"/>
                <w:sz w:val="20"/>
                <w:szCs w:val="20"/>
              </w:rPr>
            </w:pPr>
            <w:r>
              <w:rPr>
                <w:rFonts w:hint="default" w:ascii="Times New Roman" w:hAnsi="Times New Roman" w:eastAsia="宋体" w:cs="Times New Roman"/>
                <w:color w:val="000000"/>
                <w:sz w:val="20"/>
                <w:szCs w:val="20"/>
              </w:rPr>
              <w:t>44dBm for 20MHz</w:t>
            </w:r>
          </w:p>
        </w:tc>
        <w:tc>
          <w:tcPr>
            <w:tcW w:w="4164" w:type="dxa"/>
            <w:shd w:val="clear" w:color="auto" w:fill="auto"/>
            <w:vAlign w:val="top"/>
          </w:tcPr>
          <w:p w14:paraId="7BD91622">
            <w:pPr>
              <w:pStyle w:val="38"/>
              <w:keepNext w:val="0"/>
              <w:keepLines w:val="0"/>
              <w:jc w:val="left"/>
              <w:rPr>
                <w:rFonts w:hint="default" w:ascii="Times New Roman" w:hAnsi="Times New Roman" w:cs="Times New Roman"/>
                <w:sz w:val="20"/>
                <w:szCs w:val="20"/>
              </w:rPr>
            </w:pPr>
            <w:r>
              <w:rPr>
                <w:rFonts w:hint="default" w:ascii="Times New Roman" w:hAnsi="Times New Roman" w:cs="Times New Roman"/>
                <w:sz w:val="20"/>
                <w:szCs w:val="20"/>
              </w:rPr>
              <w:t>40 dBm (baseline)</w:t>
            </w:r>
          </w:p>
          <w:p w14:paraId="37DF0C5E">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Other values (e.g., 34 dBm) not precluded</w:t>
            </w:r>
          </w:p>
        </w:tc>
      </w:tr>
      <w:tr w14:paraId="5189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20CF49ED">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Maximum UE Tx Power</w:t>
            </w:r>
          </w:p>
        </w:tc>
        <w:tc>
          <w:tcPr>
            <w:tcW w:w="4359" w:type="dxa"/>
          </w:tcPr>
          <w:p w14:paraId="4BE949EC">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23dbm</w:t>
            </w:r>
          </w:p>
        </w:tc>
        <w:tc>
          <w:tcPr>
            <w:tcW w:w="4164" w:type="dxa"/>
            <w:shd w:val="clear" w:color="auto" w:fill="auto"/>
            <w:vAlign w:val="top"/>
          </w:tcPr>
          <w:p w14:paraId="3D78378C">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23 dBm</w:t>
            </w:r>
          </w:p>
        </w:tc>
      </w:tr>
      <w:tr w14:paraId="5AF1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24CDE050">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BS receiver Noise Figure</w:t>
            </w:r>
          </w:p>
        </w:tc>
        <w:tc>
          <w:tcPr>
            <w:tcW w:w="4359" w:type="dxa"/>
          </w:tcPr>
          <w:p w14:paraId="6632232A">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5db</w:t>
            </w:r>
          </w:p>
        </w:tc>
        <w:tc>
          <w:tcPr>
            <w:tcW w:w="4164" w:type="dxa"/>
            <w:shd w:val="clear" w:color="auto" w:fill="auto"/>
            <w:vAlign w:val="top"/>
          </w:tcPr>
          <w:p w14:paraId="07D1E7DC">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7 dB</w:t>
            </w:r>
          </w:p>
        </w:tc>
      </w:tr>
      <w:tr w14:paraId="5B2F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79761D1B">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UE receiver Noise Figure</w:t>
            </w:r>
          </w:p>
        </w:tc>
        <w:tc>
          <w:tcPr>
            <w:tcW w:w="4359" w:type="dxa"/>
          </w:tcPr>
          <w:p w14:paraId="5DBC5AFC">
            <w:pPr>
              <w:pStyle w:val="39"/>
              <w:keepNext w:val="0"/>
              <w:keepLines w:val="0"/>
              <w:rPr>
                <w:rFonts w:hint="default" w:ascii="Times New Roman" w:hAnsi="Times New Roman" w:cs="Times New Roman"/>
                <w:sz w:val="20"/>
                <w:szCs w:val="20"/>
              </w:rPr>
            </w:pPr>
            <w:r>
              <w:rPr>
                <w:rFonts w:hint="default" w:ascii="Times New Roman" w:hAnsi="Times New Roman" w:eastAsia="宋体" w:cs="Times New Roman"/>
                <w:color w:val="000000"/>
                <w:sz w:val="20"/>
                <w:szCs w:val="20"/>
              </w:rPr>
              <w:t>9dB</w:t>
            </w:r>
          </w:p>
        </w:tc>
        <w:tc>
          <w:tcPr>
            <w:tcW w:w="4164" w:type="dxa"/>
            <w:shd w:val="clear" w:color="auto" w:fill="auto"/>
            <w:vAlign w:val="top"/>
          </w:tcPr>
          <w:p w14:paraId="09146926">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10 dB</w:t>
            </w:r>
          </w:p>
        </w:tc>
      </w:tr>
      <w:tr w14:paraId="47BC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2909EF63">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Inter site distance</w:t>
            </w:r>
          </w:p>
        </w:tc>
        <w:tc>
          <w:tcPr>
            <w:tcW w:w="4359" w:type="dxa"/>
          </w:tcPr>
          <w:p w14:paraId="0A310B44">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500m</w:t>
            </w:r>
          </w:p>
        </w:tc>
        <w:tc>
          <w:tcPr>
            <w:tcW w:w="4164" w:type="dxa"/>
            <w:shd w:val="clear" w:color="auto" w:fill="auto"/>
            <w:vAlign w:val="top"/>
          </w:tcPr>
          <w:p w14:paraId="370F50C3">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200 m</w:t>
            </w:r>
          </w:p>
        </w:tc>
      </w:tr>
      <w:tr w14:paraId="3ECC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1CFD7679">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BS Antenna height</w:t>
            </w:r>
          </w:p>
        </w:tc>
        <w:tc>
          <w:tcPr>
            <w:tcW w:w="4359" w:type="dxa"/>
          </w:tcPr>
          <w:p w14:paraId="12C86CA7">
            <w:pPr>
              <w:pStyle w:val="39"/>
              <w:keepNext w:val="0"/>
              <w:keepLines w:val="0"/>
              <w:rPr>
                <w:rFonts w:hint="default" w:ascii="Times New Roman" w:hAnsi="Times New Roman" w:cs="Times New Roman"/>
                <w:sz w:val="20"/>
                <w:szCs w:val="20"/>
              </w:rPr>
            </w:pPr>
            <w:r>
              <w:rPr>
                <w:rFonts w:hint="default" w:ascii="Times New Roman" w:hAnsi="Times New Roman" w:eastAsia="宋体" w:cs="Times New Roman"/>
                <w:color w:val="000000"/>
                <w:sz w:val="20"/>
                <w:szCs w:val="20"/>
              </w:rPr>
              <w:t>25m</w:t>
            </w:r>
          </w:p>
        </w:tc>
        <w:tc>
          <w:tcPr>
            <w:tcW w:w="4164" w:type="dxa"/>
            <w:shd w:val="clear" w:color="auto" w:fill="auto"/>
            <w:vAlign w:val="top"/>
          </w:tcPr>
          <w:p w14:paraId="7EBAD9A3">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10 m</w:t>
            </w:r>
          </w:p>
        </w:tc>
      </w:tr>
      <w:tr w14:paraId="0973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6BB5A715">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UE Antenna height</w:t>
            </w:r>
          </w:p>
        </w:tc>
        <w:tc>
          <w:tcPr>
            <w:tcW w:w="4359" w:type="dxa"/>
          </w:tcPr>
          <w:p w14:paraId="0327D051">
            <w:pPr>
              <w:pStyle w:val="39"/>
              <w:keepNext w:val="0"/>
              <w:keepLines w:val="0"/>
              <w:rPr>
                <w:rFonts w:hint="default" w:ascii="Times New Roman" w:hAnsi="Times New Roman" w:cs="Times New Roman"/>
                <w:sz w:val="20"/>
                <w:szCs w:val="20"/>
              </w:rPr>
            </w:pPr>
            <w:r>
              <w:rPr>
                <w:rFonts w:hint="default" w:ascii="Times New Roman" w:hAnsi="Times New Roman" w:eastAsia="宋体" w:cs="Times New Roman"/>
                <w:color w:val="000000"/>
                <w:sz w:val="20"/>
                <w:szCs w:val="20"/>
              </w:rPr>
              <w:t>Follow TR36.873, which is 1.5m</w:t>
            </w:r>
          </w:p>
        </w:tc>
        <w:tc>
          <w:tcPr>
            <w:tcW w:w="4164" w:type="dxa"/>
            <w:shd w:val="clear" w:color="auto" w:fill="auto"/>
            <w:vAlign w:val="top"/>
          </w:tcPr>
          <w:p w14:paraId="2F188EE6">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1.5 m</w:t>
            </w:r>
          </w:p>
        </w:tc>
      </w:tr>
      <w:tr w14:paraId="7C0D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tcPr>
          <w:p w14:paraId="54C97F24">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Spatial consistency</w:t>
            </w:r>
          </w:p>
        </w:tc>
        <w:tc>
          <w:tcPr>
            <w:tcW w:w="4359" w:type="dxa"/>
          </w:tcPr>
          <w:p w14:paraId="2F77033E">
            <w:pPr>
              <w:spacing w:after="0"/>
              <w:rPr>
                <w:rFonts w:hint="default" w:ascii="Times New Roman" w:hAnsi="Times New Roman" w:cs="Times New Roman"/>
                <w:sz w:val="20"/>
                <w:szCs w:val="20"/>
              </w:rPr>
            </w:pPr>
            <w:r>
              <w:rPr>
                <w:rFonts w:hint="default" w:ascii="Times New Roman" w:hAnsi="Times New Roman" w:cs="Times New Roman"/>
                <w:sz w:val="20"/>
                <w:szCs w:val="20"/>
              </w:rPr>
              <w:t xml:space="preserve">At least forSpatial domain prediction, companies report the one of spatial consistency procedures: </w:t>
            </w:r>
          </w:p>
          <w:p w14:paraId="67463BB8">
            <w:pPr>
              <w:spacing w:after="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Procedure A in TR38.901</w:t>
            </w:r>
          </w:p>
          <w:p w14:paraId="7740EE47">
            <w:pPr>
              <w:pStyle w:val="39"/>
              <w:keepNext w:val="0"/>
              <w:keepLines w:val="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Procedure B in TR38.901</w:t>
            </w:r>
          </w:p>
        </w:tc>
        <w:tc>
          <w:tcPr>
            <w:tcW w:w="4164" w:type="dxa"/>
            <w:shd w:val="clear" w:color="auto" w:fill="auto"/>
            <w:vAlign w:val="top"/>
          </w:tcPr>
          <w:p w14:paraId="5EDE2862">
            <w:pPr>
              <w:spacing w:after="0"/>
              <w:rPr>
                <w:rFonts w:hint="default" w:ascii="Times New Roman" w:hAnsi="Times New Roman" w:cs="Times New Roman"/>
                <w:sz w:val="20"/>
                <w:szCs w:val="20"/>
              </w:rPr>
            </w:pPr>
            <w:r>
              <w:rPr>
                <w:rFonts w:hint="default" w:ascii="Times New Roman" w:hAnsi="Times New Roman" w:cs="Times New Roman"/>
                <w:sz w:val="20"/>
                <w:szCs w:val="20"/>
              </w:rPr>
              <w:t xml:space="preserve">companies report the one of spatial consistency procedures: </w:t>
            </w:r>
          </w:p>
          <w:p w14:paraId="05929BA4">
            <w:pPr>
              <w:spacing w:after="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Procedure A in TR38.901</w:t>
            </w:r>
          </w:p>
          <w:p w14:paraId="76E60F84">
            <w:pPr>
              <w:pStyle w:val="39"/>
              <w:keepNext w:val="0"/>
              <w:keepLines w:val="0"/>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Procedure B in TR38.901</w:t>
            </w:r>
          </w:p>
        </w:tc>
      </w:tr>
      <w:tr w14:paraId="1A7D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auto"/>
            <w:vAlign w:val="top"/>
          </w:tcPr>
          <w:p w14:paraId="0FD4308A">
            <w:pPr>
              <w:pStyle w:val="22"/>
              <w:spacing w:after="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L1/L3 filtering</w:t>
            </w:r>
          </w:p>
        </w:tc>
        <w:tc>
          <w:tcPr>
            <w:tcW w:w="4359" w:type="dxa"/>
            <w:shd w:val="clear" w:color="auto" w:fill="auto"/>
            <w:vAlign w:val="top"/>
          </w:tcPr>
          <w:p w14:paraId="5D0EA652">
            <w:pPr>
              <w:pStyle w:val="22"/>
              <w:numPr>
                <w:ilvl w:val="0"/>
                <w:numId w:val="7"/>
              </w:numPr>
              <w:spacing w:after="0"/>
              <w:ind w:left="179" w:hanging="179"/>
              <w:jc w:val="left"/>
              <w:rPr>
                <w:rFonts w:hint="default" w:ascii="Times New Roman" w:hAnsi="Times New Roman" w:cs="Times New Roman"/>
                <w:b w:val="0"/>
              </w:rPr>
            </w:pPr>
            <w:r>
              <w:rPr>
                <w:rFonts w:hint="default" w:ascii="Times New Roman" w:hAnsi="Times New Roman" w:cs="Times New Roman"/>
                <w:b w:val="0"/>
              </w:rPr>
              <w:t>sliding L1/L3 filtering</w:t>
            </w:r>
          </w:p>
          <w:p w14:paraId="43774CF5">
            <w:pPr>
              <w:pStyle w:val="22"/>
              <w:numPr>
                <w:ilvl w:val="0"/>
                <w:numId w:val="7"/>
              </w:numPr>
              <w:spacing w:after="0"/>
              <w:ind w:left="179" w:leftChars="0" w:hanging="179" w:firstLineChars="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non-sliding L1/L3 filtering</w:t>
            </w:r>
          </w:p>
        </w:tc>
        <w:tc>
          <w:tcPr>
            <w:tcW w:w="4164" w:type="dxa"/>
            <w:shd w:val="clear" w:color="auto" w:fill="auto"/>
            <w:vAlign w:val="top"/>
          </w:tcPr>
          <w:p w14:paraId="142FE123">
            <w:pPr>
              <w:pStyle w:val="22"/>
              <w:numPr>
                <w:ilvl w:val="0"/>
                <w:numId w:val="7"/>
              </w:numPr>
              <w:spacing w:after="0"/>
              <w:ind w:left="179" w:hanging="179"/>
              <w:jc w:val="left"/>
              <w:rPr>
                <w:rFonts w:hint="default" w:ascii="Times New Roman" w:hAnsi="Times New Roman" w:cs="Times New Roman"/>
                <w:b w:val="0"/>
              </w:rPr>
            </w:pPr>
            <w:r>
              <w:rPr>
                <w:rFonts w:hint="default" w:ascii="Times New Roman" w:hAnsi="Times New Roman" w:cs="Times New Roman"/>
                <w:b w:val="0"/>
              </w:rPr>
              <w:t>sliding L1/L3 filtering</w:t>
            </w:r>
          </w:p>
          <w:p w14:paraId="568F7B31">
            <w:pPr>
              <w:pStyle w:val="22"/>
              <w:numPr>
                <w:ilvl w:val="0"/>
                <w:numId w:val="7"/>
              </w:numPr>
              <w:spacing w:after="0"/>
              <w:ind w:left="179" w:leftChars="0" w:hanging="179" w:firstLineChars="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non-sliding L1/L3 filtering</w:t>
            </w:r>
          </w:p>
        </w:tc>
      </w:tr>
      <w:tr w14:paraId="521D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auto"/>
            <w:vAlign w:val="top"/>
          </w:tcPr>
          <w:p w14:paraId="1F5012F0">
            <w:pPr>
              <w:pStyle w:val="22"/>
              <w:spacing w:after="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highlight w:val="yellow"/>
              </w:rPr>
              <w:t>the number of TX/RX</w:t>
            </w:r>
          </w:p>
        </w:tc>
        <w:tc>
          <w:tcPr>
            <w:tcW w:w="4359" w:type="dxa"/>
            <w:shd w:val="clear" w:color="auto" w:fill="auto"/>
            <w:vAlign w:val="top"/>
          </w:tcPr>
          <w:p w14:paraId="136D8486">
            <w:pPr>
              <w:pStyle w:val="22"/>
              <w:numPr>
                <w:ilvl w:val="0"/>
                <w:numId w:val="7"/>
              </w:numPr>
              <w:spacing w:after="0"/>
              <w:ind w:left="179" w:hanging="179"/>
              <w:jc w:val="left"/>
              <w:rPr>
                <w:rFonts w:hint="default" w:ascii="Times New Roman" w:hAnsi="Times New Roman" w:cs="Times New Roman"/>
                <w:b w:val="0"/>
              </w:rPr>
            </w:pPr>
            <w:r>
              <w:rPr>
                <w:rFonts w:hint="default" w:ascii="Times New Roman" w:hAnsi="Times New Roman" w:cs="Times New Roman"/>
                <w:b w:val="0"/>
              </w:rPr>
              <w:t>Number of TX beams：{1,2,4}</w:t>
            </w:r>
          </w:p>
          <w:p w14:paraId="3AEF8A55">
            <w:pPr>
              <w:pStyle w:val="22"/>
              <w:numPr>
                <w:ilvl w:val="0"/>
                <w:numId w:val="7"/>
              </w:numPr>
              <w:spacing w:after="0"/>
              <w:ind w:left="179" w:leftChars="0" w:hanging="179" w:firstLineChars="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Number of RX beams：{1}</w:t>
            </w:r>
          </w:p>
        </w:tc>
        <w:tc>
          <w:tcPr>
            <w:tcW w:w="4164" w:type="dxa"/>
            <w:shd w:val="clear" w:color="auto" w:fill="auto"/>
            <w:vAlign w:val="top"/>
          </w:tcPr>
          <w:p w14:paraId="1098FCF2">
            <w:pPr>
              <w:pStyle w:val="22"/>
              <w:numPr>
                <w:ilvl w:val="0"/>
                <w:numId w:val="7"/>
              </w:numPr>
              <w:spacing w:after="0"/>
              <w:ind w:left="179" w:hanging="179"/>
              <w:jc w:val="left"/>
              <w:rPr>
                <w:rFonts w:hint="default" w:ascii="Times New Roman" w:hAnsi="Times New Roman" w:cs="Times New Roman"/>
                <w:b w:val="0"/>
              </w:rPr>
            </w:pPr>
            <w:r>
              <w:rPr>
                <w:rFonts w:hint="default" w:ascii="Times New Roman" w:hAnsi="Times New Roman" w:cs="Times New Roman"/>
                <w:b w:val="0"/>
              </w:rPr>
              <w:t>Number of TX beams：{8,16,32}</w:t>
            </w:r>
          </w:p>
          <w:p w14:paraId="41A8FF6C">
            <w:pPr>
              <w:pStyle w:val="22"/>
              <w:numPr>
                <w:ilvl w:val="0"/>
                <w:numId w:val="7"/>
              </w:numPr>
              <w:spacing w:after="0"/>
              <w:ind w:left="179" w:hanging="179"/>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Number of RX beams：{4}</w:t>
            </w:r>
          </w:p>
        </w:tc>
      </w:tr>
      <w:tr w14:paraId="7849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auto"/>
            <w:vAlign w:val="top"/>
          </w:tcPr>
          <w:p w14:paraId="72877EBD">
            <w:pPr>
              <w:pStyle w:val="22"/>
              <w:spacing w:after="0"/>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highlight w:val="yellow"/>
              </w:rPr>
              <w:t>UE speed</w:t>
            </w:r>
          </w:p>
        </w:tc>
        <w:tc>
          <w:tcPr>
            <w:tcW w:w="4359" w:type="dxa"/>
            <w:shd w:val="clear" w:color="auto" w:fill="auto"/>
            <w:vAlign w:val="top"/>
          </w:tcPr>
          <w:p w14:paraId="704042AF">
            <w:pPr>
              <w:pStyle w:val="22"/>
              <w:numPr>
                <w:ilvl w:val="0"/>
                <w:numId w:val="7"/>
              </w:numPr>
              <w:spacing w:after="0"/>
              <w:ind w:left="179" w:hanging="179"/>
              <w:jc w:val="left"/>
              <w:rPr>
                <w:rFonts w:hint="default" w:ascii="Times New Roman" w:hAnsi="Times New Roman" w:cs="Times New Roman"/>
                <w:b w:val="0"/>
              </w:rPr>
            </w:pPr>
            <w:r>
              <w:rPr>
                <w:rFonts w:hint="default" w:ascii="Times New Roman" w:hAnsi="Times New Roman" w:cs="Times New Roman"/>
                <w:b w:val="0"/>
              </w:rPr>
              <w:t>90km/h</w:t>
            </w:r>
          </w:p>
          <w:p w14:paraId="27FCAF4A">
            <w:pPr>
              <w:pStyle w:val="22"/>
              <w:numPr>
                <w:ilvl w:val="0"/>
                <w:numId w:val="7"/>
              </w:numPr>
              <w:spacing w:after="0"/>
              <w:ind w:left="179" w:hanging="179"/>
              <w:jc w:val="left"/>
              <w:rPr>
                <w:rFonts w:hint="default" w:ascii="Times New Roman" w:hAnsi="Times New Roman" w:eastAsia="等线" w:cs="Times New Roman"/>
                <w:b w:val="0"/>
                <w:kern w:val="0"/>
                <w:sz w:val="20"/>
                <w:szCs w:val="20"/>
                <w:lang w:val="en-GB" w:eastAsia="en-US" w:bidi="ar-SA"/>
              </w:rPr>
            </w:pPr>
            <w:r>
              <w:rPr>
                <w:rFonts w:hint="default" w:ascii="Times New Roman" w:hAnsi="Times New Roman" w:cs="Times New Roman"/>
                <w:b w:val="0"/>
              </w:rPr>
              <w:t>30km/h</w:t>
            </w:r>
          </w:p>
        </w:tc>
        <w:tc>
          <w:tcPr>
            <w:tcW w:w="4164" w:type="dxa"/>
            <w:shd w:val="clear" w:color="auto" w:fill="auto"/>
            <w:vAlign w:val="top"/>
          </w:tcPr>
          <w:p w14:paraId="4C73727F">
            <w:pPr>
              <w:pStyle w:val="22"/>
              <w:numPr>
                <w:ilvl w:val="0"/>
                <w:numId w:val="7"/>
              </w:numPr>
              <w:spacing w:after="0"/>
              <w:ind w:left="179" w:hanging="179"/>
              <w:jc w:val="left"/>
              <w:rPr>
                <w:rFonts w:hint="default" w:ascii="Times New Roman" w:hAnsi="Times New Roman" w:cs="Times New Roman"/>
                <w:b w:val="0"/>
              </w:rPr>
            </w:pPr>
            <w:r>
              <w:rPr>
                <w:rFonts w:hint="eastAsia" w:ascii="Times New Roman" w:hAnsi="Times New Roman" w:cs="Times New Roman"/>
                <w:b w:val="0"/>
                <w:lang w:val="en-US" w:eastAsia="zh-CN"/>
              </w:rPr>
              <w:t>6</w:t>
            </w:r>
            <w:r>
              <w:rPr>
                <w:rFonts w:hint="default" w:ascii="Times New Roman" w:hAnsi="Times New Roman" w:cs="Times New Roman"/>
                <w:b w:val="0"/>
              </w:rPr>
              <w:t>0km/h</w:t>
            </w:r>
          </w:p>
          <w:p w14:paraId="6CDA7CBF">
            <w:pPr>
              <w:pStyle w:val="22"/>
              <w:spacing w:after="0"/>
              <w:jc w:val="left"/>
              <w:rPr>
                <w:rFonts w:hint="default" w:ascii="Times New Roman" w:hAnsi="Times New Roman" w:eastAsia="等线" w:cs="Times New Roman"/>
                <w:b w:val="0"/>
                <w:kern w:val="0"/>
                <w:sz w:val="20"/>
                <w:szCs w:val="20"/>
                <w:lang w:val="en-GB" w:eastAsia="en-US" w:bidi="ar-SA"/>
              </w:rPr>
            </w:pPr>
          </w:p>
        </w:tc>
      </w:tr>
      <w:tr w14:paraId="5E69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auto"/>
            <w:vAlign w:val="top"/>
          </w:tcPr>
          <w:p w14:paraId="3A1EEE90">
            <w:pPr>
              <w:pStyle w:val="22"/>
              <w:spacing w:after="0"/>
              <w:jc w:val="left"/>
              <w:rPr>
                <w:rFonts w:hint="default" w:ascii="Times New Roman" w:hAnsi="Times New Roman" w:cs="Times New Roman"/>
                <w:b w:val="0"/>
              </w:rPr>
            </w:pPr>
            <w:r>
              <w:rPr>
                <w:rFonts w:hint="default" w:ascii="Times New Roman" w:hAnsi="Times New Roman" w:cs="Times New Roman"/>
                <w:b w:val="0"/>
                <w:highlight w:val="yellow"/>
              </w:rPr>
              <w:t>OW/PW</w:t>
            </w:r>
          </w:p>
        </w:tc>
        <w:tc>
          <w:tcPr>
            <w:tcW w:w="4359" w:type="dxa"/>
            <w:shd w:val="clear" w:color="auto" w:fill="auto"/>
            <w:vAlign w:val="top"/>
          </w:tcPr>
          <w:p w14:paraId="6C5F3975">
            <w:pPr>
              <w:pStyle w:val="22"/>
              <w:numPr>
                <w:ilvl w:val="0"/>
                <w:numId w:val="0"/>
              </w:numPr>
              <w:spacing w:after="0"/>
              <w:ind w:leftChars="0"/>
              <w:jc w:val="left"/>
              <w:rPr>
                <w:rFonts w:hint="eastAsia" w:ascii="Times New Roman" w:hAnsi="Times New Roman" w:cs="Times New Roman"/>
                <w:b w:val="0"/>
                <w:lang w:val="en-US" w:eastAsia="zh-CN"/>
              </w:rPr>
            </w:pPr>
            <w:r>
              <w:rPr>
                <w:rFonts w:hint="eastAsia" w:ascii="Times New Roman" w:hAnsi="Times New Roman" w:cs="Times New Roman"/>
                <w:b w:val="0"/>
                <w:lang w:val="en-US" w:eastAsia="zh-CN"/>
              </w:rPr>
              <w:t>OW: {40ms~2000ms}</w:t>
            </w:r>
          </w:p>
          <w:p w14:paraId="1BF3334F">
            <w:pPr>
              <w:pStyle w:val="22"/>
              <w:numPr>
                <w:ilvl w:val="0"/>
                <w:numId w:val="0"/>
              </w:numPr>
              <w:spacing w:after="0"/>
              <w:ind w:leftChars="0"/>
              <w:jc w:val="left"/>
              <w:rPr>
                <w:rFonts w:hint="default" w:ascii="Times New Roman" w:hAnsi="Times New Roman" w:cs="Times New Roman"/>
                <w:b w:val="0"/>
              </w:rPr>
            </w:pPr>
            <w:r>
              <w:rPr>
                <w:rFonts w:hint="eastAsia" w:ascii="Times New Roman" w:hAnsi="Times New Roman" w:cs="Times New Roman"/>
                <w:b w:val="0"/>
                <w:lang w:val="en-US" w:eastAsia="zh-CN"/>
              </w:rPr>
              <w:t>PW: {</w:t>
            </w:r>
            <w:r>
              <w:rPr>
                <w:rFonts w:hint="default" w:ascii="Times New Roman" w:hAnsi="Times New Roman" w:cs="Times New Roman"/>
                <w:b w:val="0"/>
              </w:rPr>
              <w:t>4</w:t>
            </w:r>
            <w:r>
              <w:rPr>
                <w:rFonts w:hint="eastAsia" w:ascii="Times New Roman" w:hAnsi="Times New Roman" w:cs="Times New Roman"/>
                <w:b w:val="0"/>
                <w:lang w:val="en-US" w:eastAsia="zh-CN"/>
              </w:rPr>
              <w:t>0ms~800ms}</w:t>
            </w:r>
          </w:p>
        </w:tc>
        <w:tc>
          <w:tcPr>
            <w:tcW w:w="4164" w:type="dxa"/>
            <w:shd w:val="clear" w:color="auto" w:fill="auto"/>
            <w:vAlign w:val="top"/>
          </w:tcPr>
          <w:p w14:paraId="673E1B0D">
            <w:pPr>
              <w:pStyle w:val="22"/>
              <w:numPr>
                <w:ilvl w:val="0"/>
                <w:numId w:val="0"/>
              </w:numPr>
              <w:spacing w:after="0"/>
              <w:ind w:leftChars="0"/>
              <w:jc w:val="left"/>
              <w:rPr>
                <w:rFonts w:hint="default" w:ascii="Times New Roman" w:hAnsi="Times New Roman" w:cs="Times New Roman"/>
                <w:b w:val="0"/>
                <w:lang w:val="en-US" w:eastAsia="zh-CN"/>
              </w:rPr>
            </w:pPr>
            <w:r>
              <w:rPr>
                <w:rFonts w:hint="eastAsia" w:ascii="Times New Roman" w:hAnsi="Times New Roman" w:cs="Times New Roman"/>
                <w:b w:val="0"/>
                <w:lang w:val="en-US" w:eastAsia="zh-CN"/>
              </w:rPr>
              <w:t>OW/PW: {</w:t>
            </w:r>
            <w:r>
              <w:rPr>
                <w:rFonts w:hint="default" w:ascii="Times New Roman" w:hAnsi="Times New Roman" w:cs="Times New Roman"/>
                <w:b w:val="0"/>
              </w:rPr>
              <w:t>5</w:t>
            </w:r>
            <w:r>
              <w:rPr>
                <w:rFonts w:hint="eastAsia" w:ascii="Times New Roman" w:hAnsi="Times New Roman" w:cs="Times New Roman"/>
                <w:b w:val="0"/>
                <w:lang w:val="en-US" w:eastAsia="zh-CN"/>
              </w:rPr>
              <w:t>,</w:t>
            </w:r>
            <w:r>
              <w:rPr>
                <w:rFonts w:hint="default" w:ascii="Times New Roman" w:hAnsi="Times New Roman" w:cs="Times New Roman"/>
                <w:b w:val="0"/>
              </w:rPr>
              <w:t>4</w:t>
            </w:r>
            <w:r>
              <w:rPr>
                <w:rFonts w:hint="eastAsia" w:ascii="Times New Roman" w:hAnsi="Times New Roman" w:cs="Times New Roman"/>
                <w:b w:val="0"/>
                <w:lang w:val="en-US" w:eastAsia="zh-CN"/>
              </w:rPr>
              <w:t>,</w:t>
            </w:r>
            <w:r>
              <w:rPr>
                <w:rFonts w:hint="default" w:ascii="Times New Roman" w:hAnsi="Times New Roman" w:cs="Times New Roman"/>
                <w:b w:val="0"/>
              </w:rPr>
              <w:t>3</w:t>
            </w:r>
            <w:r>
              <w:rPr>
                <w:rFonts w:hint="eastAsia" w:ascii="Times New Roman" w:hAnsi="Times New Roman" w:cs="Times New Roman"/>
                <w:b w:val="0"/>
                <w:lang w:val="en-US" w:eastAsia="zh-CN"/>
              </w:rPr>
              <w:t>,</w:t>
            </w:r>
            <w:r>
              <w:rPr>
                <w:rFonts w:hint="default" w:ascii="Times New Roman" w:hAnsi="Times New Roman" w:cs="Times New Roman"/>
                <w:b w:val="0"/>
              </w:rPr>
              <w:t>2</w:t>
            </w:r>
            <w:r>
              <w:rPr>
                <w:rFonts w:hint="eastAsia" w:ascii="Times New Roman" w:hAnsi="Times New Roman" w:cs="Times New Roman"/>
                <w:b w:val="0"/>
                <w:lang w:val="en-US" w:eastAsia="zh-CN"/>
              </w:rPr>
              <w:t>,</w:t>
            </w:r>
            <w:r>
              <w:rPr>
                <w:rFonts w:hint="default" w:ascii="Times New Roman" w:hAnsi="Times New Roman" w:cs="Times New Roman"/>
                <w:b w:val="0"/>
              </w:rPr>
              <w:t>1</w:t>
            </w:r>
            <w:r>
              <w:rPr>
                <w:rFonts w:hint="eastAsia" w:ascii="Times New Roman" w:hAnsi="Times New Roman" w:cs="Times New Roman"/>
                <w:b w:val="0"/>
                <w:lang w:val="en-US" w:eastAsia="zh-CN"/>
              </w:rPr>
              <w:t>,1/2,1/3,1/4,1/5}</w:t>
            </w:r>
          </w:p>
        </w:tc>
      </w:tr>
      <w:tr w14:paraId="21BB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shd w:val="clear" w:color="auto" w:fill="auto"/>
            <w:vAlign w:val="top"/>
          </w:tcPr>
          <w:p w14:paraId="59357B9A">
            <w:pPr>
              <w:pStyle w:val="22"/>
              <w:spacing w:after="0"/>
              <w:jc w:val="left"/>
              <w:rPr>
                <w:rFonts w:hint="default" w:ascii="Times New Roman" w:hAnsi="Times New Roman" w:eastAsia="等线" w:cs="Times New Roman"/>
                <w:b w:val="0"/>
                <w:highlight w:val="yellow"/>
                <w:lang w:val="en-US" w:eastAsia="zh-CN"/>
              </w:rPr>
            </w:pPr>
            <w:r>
              <w:rPr>
                <w:rFonts w:hint="eastAsia" w:ascii="Times New Roman" w:hAnsi="Times New Roman" w:cs="Times New Roman"/>
                <w:b w:val="0"/>
                <w:highlight w:val="yellow"/>
                <w:lang w:val="en-US" w:eastAsia="zh-CN"/>
              </w:rPr>
              <w:t>MRRT</w:t>
            </w:r>
          </w:p>
        </w:tc>
        <w:tc>
          <w:tcPr>
            <w:tcW w:w="4359" w:type="dxa"/>
            <w:shd w:val="clear" w:color="auto" w:fill="auto"/>
            <w:vAlign w:val="top"/>
          </w:tcPr>
          <w:p w14:paraId="323F3B76">
            <w:pPr>
              <w:pStyle w:val="22"/>
              <w:numPr>
                <w:ilvl w:val="0"/>
                <w:numId w:val="0"/>
              </w:numPr>
              <w:spacing w:after="0"/>
              <w:ind w:leftChars="0"/>
              <w:jc w:val="left"/>
              <w:rPr>
                <w:rFonts w:hint="default" w:ascii="Times New Roman" w:hAnsi="Times New Roman" w:eastAsia="等线" w:cs="Times New Roman"/>
                <w:b w:val="0"/>
                <w:lang w:val="en-US" w:eastAsia="zh-CN"/>
              </w:rPr>
            </w:pPr>
            <w:r>
              <w:rPr>
                <w:rFonts w:hint="eastAsia" w:ascii="Times New Roman" w:hAnsi="Times New Roman" w:cs="Times New Roman"/>
                <w:b w:val="0"/>
                <w:lang w:val="en-US" w:eastAsia="zh-CN"/>
              </w:rPr>
              <w:t>50%~80%</w:t>
            </w:r>
          </w:p>
        </w:tc>
        <w:tc>
          <w:tcPr>
            <w:tcW w:w="4164" w:type="dxa"/>
            <w:shd w:val="clear" w:color="auto" w:fill="auto"/>
            <w:vAlign w:val="top"/>
          </w:tcPr>
          <w:p w14:paraId="323D5F60">
            <w:pPr>
              <w:pStyle w:val="22"/>
              <w:numPr>
                <w:ilvl w:val="0"/>
                <w:numId w:val="0"/>
              </w:numPr>
              <w:spacing w:after="0"/>
              <w:ind w:leftChars="0"/>
              <w:jc w:val="left"/>
              <w:rPr>
                <w:rFonts w:hint="default" w:ascii="Times New Roman" w:hAnsi="Times New Roman" w:eastAsia="等线" w:cs="Times New Roman"/>
                <w:b w:val="0"/>
                <w:lang w:val="en-US" w:eastAsia="zh-CN"/>
              </w:rPr>
            </w:pPr>
            <w:r>
              <w:rPr>
                <w:rFonts w:hint="eastAsia" w:ascii="Times New Roman" w:hAnsi="Times New Roman" w:cs="Times New Roman"/>
                <w:b w:val="0"/>
                <w:lang w:val="en-US" w:eastAsia="zh-CN"/>
              </w:rPr>
              <w:t>N/A</w:t>
            </w:r>
          </w:p>
        </w:tc>
      </w:tr>
    </w:tbl>
    <w:p w14:paraId="142B7C66">
      <w:pPr>
        <w:spacing w:before="120" w:beforeLines="50" w:after="120" w:line="240" w:lineRule="auto"/>
        <w:rPr>
          <w:rFonts w:hint="eastAsia" w:ascii="Arial" w:hAnsi="Arial" w:cs="Arial"/>
          <w:bCs/>
          <w:sz w:val="20"/>
          <w:szCs w:val="20"/>
          <w:lang w:val="en-US" w:eastAsia="zh-CN"/>
        </w:rPr>
      </w:pPr>
      <w:r>
        <w:rPr>
          <w:rFonts w:hint="eastAsia" w:ascii="Arial" w:hAnsi="Arial" w:cs="Arial"/>
          <w:bCs/>
          <w:sz w:val="20"/>
          <w:szCs w:val="20"/>
          <w:lang w:val="en-US" w:eastAsia="zh-CN"/>
        </w:rPr>
        <w:t xml:space="preserve">For intra-frequency temporal prediction including FR1 and FR2, UE speed (e.g. </w:t>
      </w:r>
      <w:r>
        <w:rPr>
          <w:rFonts w:hint="eastAsia" w:ascii="Arial" w:hAnsi="Arial" w:cs="Arial"/>
          <w:sz w:val="20"/>
          <w:szCs w:val="21"/>
          <w:lang w:val="en-US" w:eastAsia="zh-CN"/>
        </w:rPr>
        <w:t>30km/h, 60km/h, 90km/h, etc.</w:t>
      </w:r>
      <w:r>
        <w:rPr>
          <w:rFonts w:hint="eastAsia" w:ascii="Arial" w:hAnsi="Arial" w:cs="Arial"/>
          <w:bCs/>
          <w:sz w:val="20"/>
          <w:szCs w:val="20"/>
          <w:lang w:val="en-US" w:eastAsia="zh-CN"/>
        </w:rPr>
        <w:t>), the number of TX/RX (e.g. 1/1,1/2,1/4 for FR1, 8/4,16/4,32/4 for FR2), MRRT for FR1 (e.g. 50%, 80%), and OW/PW (e.g. 5/1, 4/1, 1/1, 1/2, etc.) are various, and may have impacts on the model performance based on the simulation results reported by companies so far. Therefore, we think they can be considered to verify the generalization performance of the model.</w:t>
      </w:r>
    </w:p>
    <w:p w14:paraId="46FD12E8">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intra-frequency temporal prediction, the following aspects can be considered to verify the generalization performance of an AI/ML model over various configurations:</w:t>
      </w:r>
    </w:p>
    <w:p w14:paraId="3DA87A59">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  UE speed (e.g. </w:t>
      </w:r>
      <w:r>
        <w:rPr>
          <w:rFonts w:hint="eastAsia" w:ascii="Arial" w:hAnsi="Arial" w:cs="Arial"/>
          <w:b/>
          <w:bCs w:val="0"/>
          <w:sz w:val="20"/>
          <w:szCs w:val="21"/>
          <w:lang w:val="en-US" w:eastAsia="zh-CN"/>
        </w:rPr>
        <w:t>30km/h, 60km/h, 90km/h, etc.</w:t>
      </w:r>
      <w:r>
        <w:rPr>
          <w:rFonts w:hint="eastAsia" w:ascii="Arial" w:hAnsi="Arial" w:cs="Arial"/>
          <w:b/>
          <w:bCs w:val="0"/>
          <w:sz w:val="20"/>
          <w:szCs w:val="20"/>
          <w:lang w:val="en-US" w:eastAsia="zh-CN"/>
        </w:rPr>
        <w:t>)</w:t>
      </w:r>
    </w:p>
    <w:p w14:paraId="7BDD165C">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the number of TX/RX (e.g. 1/1,1/2,1/4 for FR1, 8/4,16/4,32/4 for FR2)</w:t>
      </w:r>
    </w:p>
    <w:p w14:paraId="75C6BABA">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MRRT for FR1 (e.g. 50%, 80%)</w:t>
      </w:r>
    </w:p>
    <w:p w14:paraId="7C343D76">
      <w:pPr>
        <w:spacing w:before="120" w:beforeLines="50" w:after="120" w:line="240" w:lineRule="auto"/>
        <w:ind w:leftChars="100"/>
        <w:rPr>
          <w:rFonts w:hint="default" w:ascii="Arial" w:hAnsi="Arial" w:cs="Arial"/>
          <w:b/>
          <w:bCs w:val="0"/>
          <w:sz w:val="20"/>
          <w:szCs w:val="20"/>
          <w:lang w:val="en-US" w:eastAsia="zh-CN"/>
        </w:rPr>
      </w:pPr>
      <w:r>
        <w:rPr>
          <w:rFonts w:hint="eastAsia" w:ascii="Arial" w:hAnsi="Arial" w:cs="Arial"/>
          <w:b/>
          <w:bCs w:val="0"/>
          <w:sz w:val="20"/>
          <w:szCs w:val="20"/>
          <w:lang w:val="en-US" w:eastAsia="zh-CN"/>
        </w:rPr>
        <w:t>-  OW/PW (e.g. 5/1, 4/1, 1/1, 1/2, etc.)</w:t>
      </w:r>
    </w:p>
    <w:p w14:paraId="33A690C0">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For inter-frequency prediction, RAN2 observed that the UE speed has minor impact on prediction accuracy for co-located scenario based on simulation results reported by companies in last meeting [2]. And some companies proposed that the correlation coefficient between input/output frequencies may have impact on prediction accuracy although we only agreed one pair of frequencies (i.e. 2GHz and 4GHz) for simulation evaluation. Therefore, the correlation coefficient between input/output frequencies may be considered to verify the generalization performance of the model.</w:t>
      </w:r>
    </w:p>
    <w:p w14:paraId="4FC80942">
      <w:pPr>
        <w:pStyle w:val="25"/>
        <w:keepNext w:val="0"/>
        <w:keepLines w:val="0"/>
        <w:pageBreakBefore w:val="0"/>
        <w:widowControl w:val="0"/>
        <w:numPr>
          <w:ilvl w:val="0"/>
          <w:numId w:val="8"/>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rPr>
      </w:pPr>
      <w:r>
        <w:rPr>
          <w:rFonts w:hint="default" w:ascii="Arial" w:hAnsi="Arial" w:cs="Arial"/>
          <w:sz w:val="20"/>
          <w:szCs w:val="22"/>
        </w:rPr>
        <w:t>Companies should report with their simulation the correlation coefficient</w:t>
      </w:r>
    </w:p>
    <w:p w14:paraId="59EC8B88">
      <w:pPr>
        <w:pStyle w:val="25"/>
        <w:keepNext w:val="0"/>
        <w:keepLines w:val="0"/>
        <w:pageBreakBefore w:val="0"/>
        <w:widowControl w:val="0"/>
        <w:numPr>
          <w:ilvl w:val="0"/>
          <w:numId w:val="8"/>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rPr>
      </w:pPr>
      <w:r>
        <w:rPr>
          <w:rFonts w:hint="default" w:ascii="Arial" w:hAnsi="Arial" w:cs="Arial"/>
          <w:sz w:val="20"/>
          <w:szCs w:val="22"/>
        </w:rPr>
        <w:t>Higher-to-lower and lower-to-higher frequency prediction is comparable</w:t>
      </w:r>
    </w:p>
    <w:p w14:paraId="3BA06087">
      <w:pPr>
        <w:pStyle w:val="25"/>
        <w:keepNext w:val="0"/>
        <w:keepLines w:val="0"/>
        <w:pageBreakBefore w:val="0"/>
        <w:widowControl w:val="0"/>
        <w:numPr>
          <w:ilvl w:val="0"/>
          <w:numId w:val="8"/>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rPr>
      </w:pPr>
      <w:r>
        <w:rPr>
          <w:rFonts w:hint="default" w:ascii="Arial" w:hAnsi="Arial" w:cs="Arial"/>
          <w:sz w:val="20"/>
          <w:szCs w:val="22"/>
        </w:rPr>
        <w:t xml:space="preserve">For co-located scenario, the UE speed in the inter-frequency case has minor impact on prediction accuracy </w:t>
      </w:r>
    </w:p>
    <w:p w14:paraId="73C5F0A3">
      <w:pPr>
        <w:spacing w:before="120" w:beforeLines="50" w:after="120" w:line="240" w:lineRule="auto"/>
        <w:rPr>
          <w:rFonts w:hint="default" w:ascii="Arial" w:hAnsi="Arial" w:cs="Arial"/>
          <w:bCs/>
          <w:sz w:val="20"/>
          <w:szCs w:val="20"/>
          <w:lang w:val="en-US" w:eastAsia="zh-CN"/>
        </w:rPr>
      </w:pPr>
      <w:r>
        <w:rPr>
          <w:rFonts w:hint="eastAsia" w:ascii="Arial" w:hAnsi="Arial" w:cs="Arial"/>
          <w:b/>
          <w:bCs w:val="0"/>
          <w:sz w:val="20"/>
          <w:szCs w:val="20"/>
          <w:lang w:val="en-US" w:eastAsia="zh-CN"/>
        </w:rPr>
        <w:t>Proposal 3: For inter-frequency prediction, the correlation coefficient between input/output frequencies may be considered to verify the generalization performance of an AI/ML model.</w:t>
      </w:r>
    </w:p>
    <w:p w14:paraId="4221625D">
      <w:pPr>
        <w:spacing w:before="120" w:beforeLines="50" w:after="120" w:line="240" w:lineRule="auto"/>
        <w:rPr>
          <w:rFonts w:hint="eastAsia" w:ascii="Arial" w:hAnsi="Arial" w:cs="Arial"/>
          <w:b w:val="0"/>
          <w:bCs/>
          <w:sz w:val="20"/>
          <w:szCs w:val="20"/>
          <w:lang w:val="en-US" w:eastAsia="zh-CN"/>
        </w:rPr>
      </w:pPr>
      <w:r>
        <w:rPr>
          <w:rFonts w:hint="eastAsia" w:ascii="Arial" w:hAnsi="Arial" w:cs="Arial"/>
          <w:bCs/>
          <w:sz w:val="20"/>
          <w:szCs w:val="20"/>
          <w:lang w:val="en-US" w:eastAsia="zh-CN"/>
        </w:rPr>
        <w:t xml:space="preserve">During RAN1 discussion on BM-Case1 in AI/ML for Air Interface, configuration of Set B and Set A are various, and different relations between Set A and Set B (e.g. Set A=Set B, Set B is a subset of Set A, Set A is different from Set B) are considered. For example, the results of 64 beams (Set A) can be predicted using actual measurements of 4 beams (Set B) where set B is subset of Set A, or the results of 64 beams (Set A) can be predicted using actual measurements of 4 beams (Set B) where set B is different with Set A, or the results of 64 beams (Set A) can be predicted using actual measurements of 8 beams (Set B) where set B is subset of Set A. </w:t>
      </w:r>
      <w:r>
        <w:rPr>
          <w:rFonts w:hint="eastAsia" w:ascii="Arial" w:hAnsi="Arial" w:cs="Arial"/>
          <w:b w:val="0"/>
          <w:bCs/>
          <w:sz w:val="20"/>
          <w:szCs w:val="20"/>
          <w:lang w:val="en-US" w:eastAsia="zh-CN"/>
        </w:rPr>
        <w:t>In addition, the UE speed is also considered during RAN1 discussion on model generalization.</w:t>
      </w:r>
    </w:p>
    <w:p w14:paraId="222E616A">
      <w:pPr>
        <w:spacing w:before="120" w:beforeLines="50" w:after="120" w:line="240" w:lineRule="auto"/>
        <w:jc w:val="center"/>
      </w:pPr>
      <w:r>
        <w:drawing>
          <wp:inline distT="0" distB="0" distL="114300" distR="114300">
            <wp:extent cx="1052830" cy="149542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052830" cy="14954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118870" cy="140462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118870" cy="1404620"/>
                    </a:xfrm>
                    <a:prstGeom prst="rect">
                      <a:avLst/>
                    </a:prstGeom>
                    <a:noFill/>
                    <a:ln>
                      <a:noFill/>
                    </a:ln>
                  </pic:spPr>
                </pic:pic>
              </a:graphicData>
            </a:graphic>
          </wp:inline>
        </w:drawing>
      </w:r>
    </w:p>
    <w:p w14:paraId="60E60711">
      <w:pPr>
        <w:spacing w:before="120" w:beforeLines="50" w:after="120" w:line="240" w:lineRule="auto"/>
        <w:jc w:val="center"/>
        <w:rPr>
          <w:rFonts w:hint="default" w:ascii="Arial" w:hAnsi="Arial" w:cs="Arial"/>
          <w:b/>
          <w:bCs/>
          <w:sz w:val="20"/>
          <w:szCs w:val="21"/>
          <w:lang w:val="en-US" w:eastAsia="zh-CN"/>
        </w:rPr>
      </w:pPr>
      <w:r>
        <w:rPr>
          <w:rFonts w:hint="default" w:ascii="Arial" w:hAnsi="Arial" w:cs="Arial"/>
          <w:b/>
          <w:bCs/>
          <w:sz w:val="20"/>
          <w:szCs w:val="21"/>
          <w:lang w:val="en-US" w:eastAsia="zh-CN"/>
        </w:rPr>
        <w:t>Case 1: Set B is different from Set A           Case 2: Set B is a subset of Set A</w:t>
      </w:r>
    </w:p>
    <w:p w14:paraId="4C197A16">
      <w:pPr>
        <w:spacing w:before="120" w:beforeLines="50" w:after="120" w:line="240" w:lineRule="auto"/>
        <w:jc w:val="center"/>
        <w:rPr>
          <w:rFonts w:hint="default" w:ascii="Arial" w:hAnsi="Arial" w:cs="Arial"/>
          <w:b/>
          <w:bCs/>
          <w:sz w:val="20"/>
          <w:szCs w:val="21"/>
          <w:lang w:val="en-US" w:eastAsia="zh-CN"/>
        </w:rPr>
      </w:pPr>
      <w:r>
        <w:rPr>
          <w:rFonts w:hint="eastAsia" w:ascii="Arial" w:hAnsi="Arial" w:cs="Arial"/>
          <w:b/>
          <w:bCs/>
          <w:sz w:val="20"/>
          <w:szCs w:val="21"/>
          <w:lang w:val="en-US" w:eastAsia="zh-CN"/>
        </w:rPr>
        <w:t xml:space="preserve">Figure 1. Examples of </w:t>
      </w:r>
      <w:r>
        <w:rPr>
          <w:rFonts w:hint="eastAsia" w:ascii="Arial" w:hAnsi="Arial" w:cs="Arial"/>
          <w:b/>
          <w:bCs/>
          <w:sz w:val="20"/>
          <w:szCs w:val="20"/>
          <w:lang w:val="en-US" w:eastAsia="zh-CN"/>
        </w:rPr>
        <w:t>relations between Set A and Set B in BM-Case1</w:t>
      </w:r>
    </w:p>
    <w:p w14:paraId="23AC8A14">
      <w:pPr>
        <w:spacing w:before="120" w:beforeLines="50" w:after="120" w:line="240" w:lineRule="auto"/>
        <w:rPr>
          <w:rFonts w:hint="default" w:ascii="Arial" w:hAnsi="Arial" w:cs="Arial"/>
          <w:bCs/>
          <w:sz w:val="20"/>
          <w:szCs w:val="20"/>
          <w:lang w:val="en-US" w:eastAsia="zh-CN"/>
        </w:rPr>
      </w:pPr>
      <w:r>
        <w:rPr>
          <w:rFonts w:hint="eastAsia" w:ascii="Arial" w:hAnsi="Arial" w:cs="Arial"/>
          <w:bCs/>
          <w:sz w:val="20"/>
          <w:szCs w:val="20"/>
          <w:lang w:val="en-US" w:eastAsia="zh-CN"/>
        </w:rPr>
        <w:t>We understand that the case of FR2 intra-frequency spatial prediction is similar to BM-Case1, so the configuration of Set B and Set A, UE speed can be considered as variable to</w:t>
      </w:r>
      <w:r>
        <w:rPr>
          <w:rFonts w:hint="eastAsia" w:ascii="Arial" w:hAnsi="Arial" w:cs="Arial"/>
          <w:b w:val="0"/>
          <w:bCs/>
          <w:sz w:val="20"/>
          <w:szCs w:val="20"/>
          <w:lang w:val="en-US" w:eastAsia="zh-CN"/>
        </w:rPr>
        <w:t xml:space="preserve"> verify the generalization performance of an AI/ML model over various configurations. </w:t>
      </w:r>
    </w:p>
    <w:p w14:paraId="25DC3D1C">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4: For FR2 intra-frequency spatial prediction, the following aspects can be considered to verify the generalization performance of an AI/ML model over various configurations:</w:t>
      </w:r>
    </w:p>
    <w:p w14:paraId="0F48D29E">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Configuration of Set A and Set B (e.g. using 4 beams (Set B) to predict 64 beams (Set A) where Set B is subset of Set A, using 4 beams to predict 64 beams where Set B is different from Set A)</w:t>
      </w:r>
    </w:p>
    <w:p w14:paraId="3132F8F8">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  UE speed (e.g. </w:t>
      </w:r>
      <w:r>
        <w:rPr>
          <w:rFonts w:hint="eastAsia" w:ascii="Arial" w:hAnsi="Arial" w:cs="Arial"/>
          <w:b/>
          <w:bCs w:val="0"/>
          <w:sz w:val="20"/>
          <w:szCs w:val="21"/>
          <w:lang w:val="en-US" w:eastAsia="zh-CN"/>
        </w:rPr>
        <w:t>30km/h, 60km/h, 90km/h, etc.</w:t>
      </w:r>
      <w:r>
        <w:rPr>
          <w:rFonts w:hint="eastAsia" w:ascii="Arial" w:hAnsi="Arial" w:cs="Arial"/>
          <w:b/>
          <w:bCs w:val="0"/>
          <w:sz w:val="20"/>
          <w:szCs w:val="20"/>
          <w:lang w:val="en-US" w:eastAsia="zh-CN"/>
        </w:rPr>
        <w:t>)</w:t>
      </w:r>
    </w:p>
    <w:p w14:paraId="355D98B3">
      <w:pPr>
        <w:spacing w:before="120" w:beforeLines="50" w:after="120" w:line="240" w:lineRule="auto"/>
        <w:rPr>
          <w:rFonts w:hint="default" w:ascii="Arial" w:hAnsi="Arial" w:cs="Arial"/>
          <w:bCs/>
          <w:sz w:val="20"/>
          <w:szCs w:val="20"/>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GB" w:eastAsia="en-US"/>
        </w:rPr>
        <w:t>other aspects of simulation assumption</w:t>
      </w:r>
      <w:r>
        <w:rPr>
          <w:rFonts w:ascii="Arial" w:hAnsi="Arial" w:eastAsia="宋体" w:cs="Arial"/>
          <w:kern w:val="0"/>
          <w:sz w:val="20"/>
          <w:szCs w:val="20"/>
          <w:lang w:val="en-GB" w:eastAsia="en-US"/>
        </w:rPr>
        <w:t>.</w:t>
      </w:r>
    </w:p>
    <w:p w14:paraId="1F426D64">
      <w:pPr>
        <w:widowControl/>
        <w:spacing w:after="180"/>
        <w:rPr>
          <w:rFonts w:hint="default" w:ascii="Arial" w:hAnsi="Arial" w:eastAsia="宋体" w:cs="Arial"/>
          <w:i/>
          <w:iCs/>
          <w:kern w:val="0"/>
          <w:sz w:val="20"/>
          <w:szCs w:val="20"/>
          <w:u w:val="single"/>
          <w:lang w:val="en-US" w:eastAsia="en-US"/>
        </w:rPr>
      </w:pPr>
      <w:r>
        <w:rPr>
          <w:rFonts w:hint="eastAsia" w:ascii="Arial" w:hAnsi="Arial" w:cs="Arial"/>
          <w:b/>
          <w:bCs w:val="0"/>
          <w:i/>
          <w:iCs/>
          <w:sz w:val="20"/>
          <w:szCs w:val="20"/>
          <w:u w:val="single"/>
          <w:lang w:val="en-US" w:eastAsia="zh-CN"/>
        </w:rPr>
        <w:t>Discussion on model generalization</w:t>
      </w:r>
    </w:p>
    <w:p w14:paraId="4800CC92">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Reuse the cases for verifying the generalization performance of an AI/ML model over various scenarios/configurations agreed in RAN1-led AI/ML for Air Interface SI for RRM measurement prediction:</w:t>
      </w:r>
    </w:p>
    <w:p w14:paraId="18EA15E5">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b/>
          <w:bCs w:val="0"/>
          <w:sz w:val="20"/>
          <w:szCs w:val="21"/>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1: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inference/test based on the same dataset as training, e.g. the</w:t>
      </w:r>
      <w:r>
        <w:rPr>
          <w:rFonts w:hint="default" w:ascii="Arial" w:hAnsi="Arial" w:cs="Arial"/>
          <w:b/>
          <w:bCs w:val="0"/>
          <w:sz w:val="20"/>
          <w:szCs w:val="21"/>
        </w:rPr>
        <w:t xml:space="preserve"> dataset</w:t>
      </w:r>
      <w:r>
        <w:rPr>
          <w:rFonts w:hint="eastAsia" w:ascii="Arial" w:hAnsi="Arial" w:cs="Arial"/>
          <w:b/>
          <w:bCs w:val="0"/>
          <w:sz w:val="20"/>
          <w:szCs w:val="21"/>
          <w:lang w:val="en-US" w:eastAsia="zh-CN"/>
        </w:rPr>
        <w:t xml:space="preserve"> for both training and </w:t>
      </w:r>
      <w:r>
        <w:rPr>
          <w:rFonts w:hint="default" w:ascii="Arial" w:hAnsi="Arial" w:cs="Arial"/>
          <w:b/>
          <w:bCs w:val="0"/>
          <w:sz w:val="20"/>
          <w:szCs w:val="21"/>
        </w:rPr>
        <w:t>inference/test</w:t>
      </w:r>
      <w:r>
        <w:rPr>
          <w:rFonts w:hint="eastAsia" w:ascii="Arial" w:hAnsi="Arial" w:cs="Arial"/>
          <w:b/>
          <w:bCs w:val="0"/>
          <w:sz w:val="20"/>
          <w:szCs w:val="21"/>
          <w:lang w:val="en-US" w:eastAsia="zh-CN"/>
        </w:rPr>
        <w:t xml:space="preserve"> is</w:t>
      </w:r>
      <w:r>
        <w:rPr>
          <w:rFonts w:hint="default" w:ascii="Arial" w:hAnsi="Arial" w:cs="Arial"/>
          <w:b/>
          <w:bCs w:val="0"/>
          <w:sz w:val="20"/>
          <w:szCs w:val="21"/>
        </w:rPr>
        <w:t xml:space="preserve"> constructed </w:t>
      </w:r>
      <w:r>
        <w:rPr>
          <w:rFonts w:hint="eastAsia" w:ascii="Arial" w:hAnsi="Arial" w:cs="Arial"/>
          <w:b/>
          <w:bCs w:val="0"/>
          <w:sz w:val="20"/>
          <w:szCs w:val="21"/>
          <w:lang w:val="en-US" w:eastAsia="zh-CN"/>
        </w:rPr>
        <w:t xml:space="preserve">based on </w:t>
      </w:r>
      <w:r>
        <w:rPr>
          <w:rFonts w:hint="default" w:ascii="Arial" w:hAnsi="Arial" w:cs="Arial"/>
          <w:b/>
          <w:bCs w:val="0"/>
          <w:sz w:val="20"/>
          <w:szCs w:val="21"/>
        </w:rPr>
        <w:t>Scenario#B/Configuration#B</w:t>
      </w:r>
    </w:p>
    <w:p w14:paraId="2B1FDEC8">
      <w:pPr>
        <w:pStyle w:val="2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b/>
          <w:bCs w:val="0"/>
          <w:sz w:val="20"/>
          <w:szCs w:val="21"/>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2: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inference/test based on the different dataset from training, </w:t>
      </w:r>
      <w:r>
        <w:rPr>
          <w:rFonts w:hint="default" w:ascii="Arial" w:hAnsi="Arial" w:cs="Arial"/>
          <w:b/>
          <w:bCs w:val="0"/>
          <w:sz w:val="20"/>
          <w:szCs w:val="21"/>
        </w:rPr>
        <w:t xml:space="preserve">e.g., </w:t>
      </w:r>
      <w:r>
        <w:rPr>
          <w:rFonts w:hint="eastAsia" w:ascii="Arial" w:hAnsi="Arial" w:cs="Arial"/>
          <w:b/>
          <w:bCs w:val="0"/>
          <w:sz w:val="20"/>
          <w:szCs w:val="21"/>
          <w:lang w:val="en-US" w:eastAsia="zh-CN"/>
        </w:rPr>
        <w:t xml:space="preserve">the dataset for training 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 xml:space="preserve">based on </w:t>
      </w:r>
      <w:r>
        <w:rPr>
          <w:rFonts w:hint="default" w:ascii="Arial" w:hAnsi="Arial" w:cs="Arial"/>
          <w:b/>
          <w:bCs w:val="0"/>
          <w:sz w:val="20"/>
          <w:szCs w:val="21"/>
        </w:rPr>
        <w:t xml:space="preserve">Scenario#A/Configuration#A, </w:t>
      </w:r>
      <w:r>
        <w:rPr>
          <w:rFonts w:hint="eastAsia" w:ascii="Arial" w:hAnsi="Arial" w:cs="Arial"/>
          <w:b/>
          <w:bCs w:val="0"/>
          <w:sz w:val="20"/>
          <w:szCs w:val="21"/>
          <w:lang w:val="en-US" w:eastAsia="zh-CN"/>
        </w:rPr>
        <w:t>but the dataset for</w:t>
      </w:r>
      <w:r>
        <w:rPr>
          <w:rFonts w:hint="default" w:ascii="Arial" w:hAnsi="Arial" w:cs="Arial"/>
          <w:b/>
          <w:bCs w:val="0"/>
          <w:sz w:val="20"/>
          <w:szCs w:val="21"/>
        </w:rPr>
        <w:t xml:space="preserve"> inference/test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 xml:space="preserve">based </w:t>
      </w:r>
      <w:r>
        <w:rPr>
          <w:rFonts w:hint="default" w:ascii="Arial" w:hAnsi="Arial" w:cs="Arial"/>
          <w:b/>
          <w:bCs w:val="0"/>
          <w:sz w:val="20"/>
          <w:szCs w:val="21"/>
        </w:rPr>
        <w:t>on Scenario#B/Configuration#B</w:t>
      </w:r>
    </w:p>
    <w:p w14:paraId="07929C4E">
      <w:pPr>
        <w:pStyle w:val="24"/>
        <w:keepNext w:val="0"/>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b/>
          <w:bCs w:val="0"/>
          <w:sz w:val="20"/>
          <w:szCs w:val="21"/>
          <w:lang w:val="en-US" w:eastAsia="zh-CN"/>
        </w:rPr>
      </w:pPr>
      <w:r>
        <w:rPr>
          <w:rFonts w:hint="default" w:ascii="Arial" w:hAnsi="Arial" w:cs="Arial"/>
          <w:b/>
          <w:bCs w:val="0"/>
          <w:sz w:val="20"/>
          <w:szCs w:val="21"/>
        </w:rPr>
        <w:t>-</w:t>
      </w:r>
      <w:r>
        <w:rPr>
          <w:rFonts w:hint="default" w:ascii="Arial" w:hAnsi="Arial" w:cs="Arial"/>
          <w:b/>
          <w:bCs w:val="0"/>
          <w:sz w:val="20"/>
          <w:szCs w:val="21"/>
        </w:rPr>
        <w:tab/>
      </w:r>
      <w:r>
        <w:rPr>
          <w:rFonts w:hint="default" w:ascii="Arial" w:hAnsi="Arial" w:cs="Arial"/>
          <w:b/>
          <w:bCs w:val="0"/>
          <w:sz w:val="20"/>
          <w:szCs w:val="21"/>
        </w:rPr>
        <w:t xml:space="preserve">Case 3: The AI/ML model </w:t>
      </w:r>
      <w:r>
        <w:rPr>
          <w:rFonts w:hint="eastAsia" w:ascii="Arial" w:hAnsi="Arial" w:cs="Arial"/>
          <w:b/>
          <w:bCs w:val="0"/>
          <w:sz w:val="20"/>
          <w:szCs w:val="21"/>
          <w:lang w:val="en-US" w:eastAsia="zh-CN"/>
        </w:rPr>
        <w:t>performs</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inference/test based on the subset of dataset for training, e.g. </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the </w:t>
      </w:r>
      <w:r>
        <w:rPr>
          <w:rFonts w:hint="default" w:ascii="Arial" w:hAnsi="Arial" w:cs="Arial"/>
          <w:b/>
          <w:bCs w:val="0"/>
          <w:sz w:val="20"/>
          <w:szCs w:val="21"/>
        </w:rPr>
        <w:t xml:space="preserve">training dataset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by mixing datasets from multiple scenarios/configurations including Scenario#B/Configuration#B and Scenario#A/Configuration#A, </w:t>
      </w:r>
      <w:r>
        <w:rPr>
          <w:rFonts w:hint="eastAsia" w:ascii="Arial" w:hAnsi="Arial" w:cs="Arial"/>
          <w:b/>
          <w:bCs w:val="0"/>
          <w:sz w:val="20"/>
          <w:szCs w:val="21"/>
          <w:lang w:val="en-US" w:eastAsia="zh-CN"/>
        </w:rPr>
        <w:t>but</w:t>
      </w:r>
      <w:r>
        <w:rPr>
          <w:rFonts w:hint="default" w:ascii="Arial" w:hAnsi="Arial" w:cs="Arial"/>
          <w:b/>
          <w:bCs w:val="0"/>
          <w:sz w:val="20"/>
          <w:szCs w:val="21"/>
        </w:rPr>
        <w:t xml:space="preserve"> </w:t>
      </w:r>
      <w:r>
        <w:rPr>
          <w:rFonts w:hint="eastAsia" w:ascii="Arial" w:hAnsi="Arial" w:cs="Arial"/>
          <w:b/>
          <w:bCs w:val="0"/>
          <w:sz w:val="20"/>
          <w:szCs w:val="21"/>
          <w:lang w:val="en-US" w:eastAsia="zh-CN"/>
        </w:rPr>
        <w:t xml:space="preserve">the </w:t>
      </w:r>
      <w:r>
        <w:rPr>
          <w:rFonts w:hint="default" w:ascii="Arial" w:hAnsi="Arial" w:cs="Arial"/>
          <w:b/>
          <w:bCs w:val="0"/>
          <w:sz w:val="20"/>
          <w:szCs w:val="21"/>
        </w:rPr>
        <w:t xml:space="preserve">inference/test dataset </w:t>
      </w:r>
      <w:r>
        <w:rPr>
          <w:rFonts w:hint="eastAsia" w:ascii="Arial" w:hAnsi="Arial" w:cs="Arial"/>
          <w:b/>
          <w:bCs w:val="0"/>
          <w:sz w:val="20"/>
          <w:szCs w:val="21"/>
          <w:lang w:val="en-US" w:eastAsia="zh-CN"/>
        </w:rPr>
        <w:t xml:space="preserve">is </w:t>
      </w:r>
      <w:r>
        <w:rPr>
          <w:rFonts w:hint="default" w:ascii="Arial" w:hAnsi="Arial" w:cs="Arial"/>
          <w:b/>
          <w:bCs w:val="0"/>
          <w:sz w:val="20"/>
          <w:szCs w:val="21"/>
        </w:rPr>
        <w:t xml:space="preserve">constructed </w:t>
      </w:r>
      <w:r>
        <w:rPr>
          <w:rFonts w:hint="eastAsia" w:ascii="Arial" w:hAnsi="Arial" w:cs="Arial"/>
          <w:b/>
          <w:bCs w:val="0"/>
          <w:sz w:val="20"/>
          <w:szCs w:val="21"/>
          <w:lang w:val="en-US" w:eastAsia="zh-CN"/>
        </w:rPr>
        <w:t>only based on</w:t>
      </w:r>
      <w:r>
        <w:rPr>
          <w:rFonts w:hint="default" w:ascii="Arial" w:hAnsi="Arial" w:cs="Arial"/>
          <w:b/>
          <w:bCs w:val="0"/>
          <w:sz w:val="20"/>
          <w:szCs w:val="21"/>
        </w:rPr>
        <w:t xml:space="preserve"> a single Scenario/Configuration</w:t>
      </w:r>
      <w:r>
        <w:rPr>
          <w:rFonts w:hint="eastAsia" w:ascii="Arial" w:hAnsi="Arial" w:cs="Arial"/>
          <w:b/>
          <w:bCs w:val="0"/>
          <w:sz w:val="20"/>
          <w:szCs w:val="21"/>
          <w:lang w:val="en-US" w:eastAsia="zh-CN"/>
        </w:rPr>
        <w:t xml:space="preserve"> (i.e. </w:t>
      </w:r>
      <w:r>
        <w:rPr>
          <w:rFonts w:hint="default" w:ascii="Arial" w:hAnsi="Arial" w:cs="Arial"/>
          <w:b/>
          <w:bCs w:val="0"/>
          <w:sz w:val="20"/>
          <w:szCs w:val="21"/>
        </w:rPr>
        <w:t>Scenario#B/Configuration#B</w:t>
      </w:r>
      <w:r>
        <w:rPr>
          <w:rFonts w:hint="eastAsia" w:ascii="Arial" w:hAnsi="Arial" w:cs="Arial"/>
          <w:b/>
          <w:bCs w:val="0"/>
          <w:sz w:val="20"/>
          <w:szCs w:val="21"/>
          <w:lang w:val="en-US" w:eastAsia="zh-CN"/>
        </w:rPr>
        <w:t>)</w:t>
      </w:r>
    </w:p>
    <w:p w14:paraId="57E913CD">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intra-frequency temporal prediction, the following aspects can be considered to verify the generalization performance of an AI/ML model over various configurations:</w:t>
      </w:r>
    </w:p>
    <w:p w14:paraId="5EE79BF8">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  UE speed (e.g. </w:t>
      </w:r>
      <w:r>
        <w:rPr>
          <w:rFonts w:hint="eastAsia" w:ascii="Arial" w:hAnsi="Arial" w:cs="Arial"/>
          <w:b/>
          <w:bCs w:val="0"/>
          <w:sz w:val="20"/>
          <w:szCs w:val="21"/>
          <w:lang w:val="en-US" w:eastAsia="zh-CN"/>
        </w:rPr>
        <w:t>30km/h, 60km/h, 90km/h, etc.</w:t>
      </w:r>
      <w:r>
        <w:rPr>
          <w:rFonts w:hint="eastAsia" w:ascii="Arial" w:hAnsi="Arial" w:cs="Arial"/>
          <w:b/>
          <w:bCs w:val="0"/>
          <w:sz w:val="20"/>
          <w:szCs w:val="20"/>
          <w:lang w:val="en-US" w:eastAsia="zh-CN"/>
        </w:rPr>
        <w:t>)</w:t>
      </w:r>
    </w:p>
    <w:p w14:paraId="742BF9E6">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the number of TX/RX (e.g. 1/1,1/2,1/4 for FR1, 8/4,16/4,32/4 for FR2)</w:t>
      </w:r>
    </w:p>
    <w:p w14:paraId="352C3FC3">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MRRT for FR1 (e.g. 50%, 80%)</w:t>
      </w:r>
    </w:p>
    <w:p w14:paraId="23EA080E">
      <w:pPr>
        <w:spacing w:before="120" w:beforeLines="50" w:after="120" w:line="240" w:lineRule="auto"/>
        <w:ind w:leftChars="100"/>
        <w:rPr>
          <w:rFonts w:hint="default" w:ascii="Arial" w:hAnsi="Arial" w:cs="Arial"/>
          <w:b/>
          <w:bCs w:val="0"/>
          <w:sz w:val="20"/>
          <w:szCs w:val="20"/>
          <w:lang w:val="en-US" w:eastAsia="zh-CN"/>
        </w:rPr>
      </w:pPr>
      <w:r>
        <w:rPr>
          <w:rFonts w:hint="eastAsia" w:ascii="Arial" w:hAnsi="Arial" w:cs="Arial"/>
          <w:b/>
          <w:bCs w:val="0"/>
          <w:sz w:val="20"/>
          <w:szCs w:val="20"/>
          <w:lang w:val="en-US" w:eastAsia="zh-CN"/>
        </w:rPr>
        <w:t>-  OW/PW (e.g. 5/1, 4/1, 1/1, 1/2, etc.)</w:t>
      </w:r>
    </w:p>
    <w:p w14:paraId="107149BD">
      <w:pPr>
        <w:spacing w:before="120" w:beforeLines="50" w:after="120" w:line="240" w:lineRule="auto"/>
        <w:rPr>
          <w:rFonts w:hint="default" w:ascii="Arial" w:hAnsi="Arial" w:cs="Arial"/>
          <w:bCs/>
          <w:sz w:val="20"/>
          <w:szCs w:val="20"/>
          <w:lang w:val="en-US" w:eastAsia="zh-CN"/>
        </w:rPr>
      </w:pPr>
      <w:r>
        <w:rPr>
          <w:rFonts w:hint="eastAsia" w:ascii="Arial" w:hAnsi="Arial" w:cs="Arial"/>
          <w:b/>
          <w:bCs w:val="0"/>
          <w:sz w:val="20"/>
          <w:szCs w:val="20"/>
          <w:lang w:val="en-US" w:eastAsia="zh-CN"/>
        </w:rPr>
        <w:t>Proposal 3: For inter-frequency prediction, the correlation coefficient between input/output frequencies may be considered to verify the generalization performance of an AI/ML model.</w:t>
      </w:r>
    </w:p>
    <w:p w14:paraId="22B47F3A">
      <w:pPr>
        <w:spacing w:before="120" w:beforeLines="50" w:after="120" w:line="240" w:lineRule="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4: For FR2 intra-frequency spatial prediction, the following aspects can be considered to verify the generalization performance of an AI/ML model over various configurations:</w:t>
      </w:r>
    </w:p>
    <w:p w14:paraId="270804B1">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Configuration of Set A and Set B (e.g. using 4 beams (Set B) to predict 64 beams (Set A) where Set B is subset of Set A, using 4 beams to predict 64 beams where Set B is different from Set A)</w:t>
      </w:r>
    </w:p>
    <w:p w14:paraId="62714D5F">
      <w:pPr>
        <w:spacing w:before="120" w:beforeLines="50" w:after="120" w:line="240" w:lineRule="auto"/>
        <w:ind w:leftChars="10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  UE speed (e.g. </w:t>
      </w:r>
      <w:r>
        <w:rPr>
          <w:rFonts w:hint="eastAsia" w:ascii="Arial" w:hAnsi="Arial" w:cs="Arial"/>
          <w:b/>
          <w:bCs w:val="0"/>
          <w:sz w:val="20"/>
          <w:szCs w:val="21"/>
          <w:lang w:val="en-US" w:eastAsia="zh-CN"/>
        </w:rPr>
        <w:t>30km/h, 60km/h, 90km/h, etc.</w:t>
      </w:r>
      <w:r>
        <w:rPr>
          <w:rFonts w:hint="eastAsia" w:ascii="Arial" w:hAnsi="Arial" w:cs="Arial"/>
          <w:b/>
          <w:bCs w:val="0"/>
          <w:sz w:val="20"/>
          <w:szCs w:val="20"/>
          <w:lang w:val="en-US" w:eastAsia="zh-CN"/>
        </w:rPr>
        <w:t>)</w:t>
      </w:r>
    </w:p>
    <w:p w14:paraId="79EB018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cs="Arial"/>
          <w:b/>
          <w:bCs w:val="0"/>
          <w:sz w:val="20"/>
          <w:szCs w:val="21"/>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0BDC9BAA">
      <w:pPr>
        <w:widowControl/>
        <w:numPr>
          <w:ilvl w:val="0"/>
          <w:numId w:val="9"/>
        </w:numPr>
        <w:overflowPunct w:val="0"/>
        <w:autoSpaceDE w:val="0"/>
        <w:autoSpaceDN w:val="0"/>
        <w:adjustRightInd w:val="0"/>
        <w:spacing w:after="180"/>
        <w:jc w:val="left"/>
        <w:textAlignment w:val="baseline"/>
        <w:rPr>
          <w:rFonts w:hint="default" w:ascii="Arial" w:hAnsi="Arial" w:eastAsia="宋体" w:cs="Arial"/>
          <w:kern w:val="0"/>
          <w:sz w:val="20"/>
          <w:szCs w:val="20"/>
          <w:lang w:val="en-US"/>
        </w:rPr>
      </w:pPr>
      <w:r>
        <w:rPr>
          <w:rFonts w:hint="eastAsia" w:ascii="Arial" w:hAnsi="Arial" w:eastAsia="宋体" w:cs="Arial"/>
          <w:kern w:val="0"/>
          <w:sz w:val="20"/>
          <w:szCs w:val="20"/>
          <w:lang w:val="en-US" w:eastAsia="zh-CN"/>
        </w:rPr>
        <w:t xml:space="preserve">TR 38.843 </w:t>
      </w:r>
      <w:r>
        <w:rPr>
          <w:rFonts w:hint="eastAsia" w:ascii="Arial" w:hAnsi="Arial" w:eastAsia="宋体" w:cs="Arial"/>
          <w:kern w:val="0"/>
          <w:sz w:val="20"/>
          <w:szCs w:val="20"/>
        </w:rPr>
        <w:t>Study on Artificial Intelligence (AI)/Machine Learning (ML) for NR air interface</w:t>
      </w:r>
    </w:p>
    <w:p w14:paraId="2BEFA079">
      <w:pPr>
        <w:widowControl/>
        <w:numPr>
          <w:ilvl w:val="0"/>
          <w:numId w:val="9"/>
        </w:numPr>
        <w:overflowPunct w:val="0"/>
        <w:autoSpaceDE w:val="0"/>
        <w:autoSpaceDN w:val="0"/>
        <w:adjustRightInd w:val="0"/>
        <w:spacing w:after="180"/>
        <w:jc w:val="left"/>
        <w:textAlignment w:val="baseline"/>
        <w:rPr>
          <w:rFonts w:hint="default" w:ascii="Arial" w:hAnsi="Arial" w:eastAsia="宋体" w:cs="Arial"/>
          <w:kern w:val="0"/>
          <w:sz w:val="20"/>
          <w:szCs w:val="20"/>
          <w:lang w:val="en-US"/>
        </w:rPr>
      </w:pPr>
      <w:r>
        <w:rPr>
          <w:rFonts w:hint="default" w:ascii="Arial" w:hAnsi="Arial" w:eastAsia="宋体" w:cs="Arial"/>
          <w:kern w:val="0"/>
          <w:sz w:val="20"/>
          <w:szCs w:val="20"/>
          <w:lang w:val="en-US"/>
        </w:rPr>
        <w:t>Draft_RAN2_127b_Meeting_Report_v1</w:t>
      </w:r>
    </w:p>
    <w:p w14:paraId="2FFC8458">
      <w:pPr>
        <w:widowControl/>
        <w:numPr>
          <w:ilvl w:val="0"/>
          <w:numId w:val="0"/>
        </w:numPr>
        <w:tabs>
          <w:tab w:val="left" w:pos="360"/>
        </w:tabs>
        <w:overflowPunct w:val="0"/>
        <w:autoSpaceDE w:val="0"/>
        <w:autoSpaceDN w:val="0"/>
        <w:adjustRightInd w:val="0"/>
        <w:spacing w:after="180"/>
        <w:jc w:val="left"/>
        <w:textAlignment w:val="baseline"/>
        <w:rPr>
          <w:rFonts w:ascii="Arial" w:hAnsi="Arial" w:eastAsia="宋体" w:cs="Arial"/>
          <w:kern w:val="0"/>
          <w:sz w:val="20"/>
          <w:szCs w:val="20"/>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8C013E3"/>
    <w:multiLevelType w:val="multilevel"/>
    <w:tmpl w:val="28C013E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C536147"/>
    <w:multiLevelType w:val="multilevel"/>
    <w:tmpl w:val="7C53614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4"/>
  </w:num>
  <w:num w:numId="2">
    <w:abstractNumId w:val="0"/>
  </w:num>
  <w:num w:numId="3">
    <w:abstractNumId w:val="7"/>
  </w:num>
  <w:num w:numId="4">
    <w:abstractNumId w:val="6"/>
  </w:num>
  <w:num w:numId="5">
    <w:abstractNumId w:val="5"/>
  </w:num>
  <w:num w:numId="6">
    <w:abstractNumId w:val="2"/>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2A68CC"/>
    <w:rsid w:val="013400FE"/>
    <w:rsid w:val="016C5974"/>
    <w:rsid w:val="016E658B"/>
    <w:rsid w:val="0174032B"/>
    <w:rsid w:val="01840FB9"/>
    <w:rsid w:val="01A0498E"/>
    <w:rsid w:val="01A574CF"/>
    <w:rsid w:val="01A60C1B"/>
    <w:rsid w:val="01E966BF"/>
    <w:rsid w:val="02293976"/>
    <w:rsid w:val="02371446"/>
    <w:rsid w:val="02395107"/>
    <w:rsid w:val="02630C48"/>
    <w:rsid w:val="029B08C6"/>
    <w:rsid w:val="02A424C3"/>
    <w:rsid w:val="02B71025"/>
    <w:rsid w:val="02FA6D08"/>
    <w:rsid w:val="0300491B"/>
    <w:rsid w:val="030E32B0"/>
    <w:rsid w:val="03190295"/>
    <w:rsid w:val="036F637F"/>
    <w:rsid w:val="038A1F16"/>
    <w:rsid w:val="03ED2655"/>
    <w:rsid w:val="041A101A"/>
    <w:rsid w:val="042468D3"/>
    <w:rsid w:val="04616861"/>
    <w:rsid w:val="04861CA0"/>
    <w:rsid w:val="04A12BB9"/>
    <w:rsid w:val="04A37BF0"/>
    <w:rsid w:val="04F25DBA"/>
    <w:rsid w:val="04F46CEE"/>
    <w:rsid w:val="04FD5053"/>
    <w:rsid w:val="054134AD"/>
    <w:rsid w:val="05551670"/>
    <w:rsid w:val="056C27CB"/>
    <w:rsid w:val="0571089C"/>
    <w:rsid w:val="058844D8"/>
    <w:rsid w:val="05AD7C3D"/>
    <w:rsid w:val="05B81468"/>
    <w:rsid w:val="05B92B80"/>
    <w:rsid w:val="05CC288F"/>
    <w:rsid w:val="05D4720E"/>
    <w:rsid w:val="05FB3716"/>
    <w:rsid w:val="061355E6"/>
    <w:rsid w:val="069766D8"/>
    <w:rsid w:val="06AC66F5"/>
    <w:rsid w:val="06EA3869"/>
    <w:rsid w:val="06EB297F"/>
    <w:rsid w:val="06F44776"/>
    <w:rsid w:val="071830B3"/>
    <w:rsid w:val="07232B13"/>
    <w:rsid w:val="072E12A5"/>
    <w:rsid w:val="072E4FA9"/>
    <w:rsid w:val="07554650"/>
    <w:rsid w:val="075F5104"/>
    <w:rsid w:val="079F7BD5"/>
    <w:rsid w:val="07AF7E3A"/>
    <w:rsid w:val="07CC0B7F"/>
    <w:rsid w:val="07F07408"/>
    <w:rsid w:val="080B0E60"/>
    <w:rsid w:val="08241B14"/>
    <w:rsid w:val="08250D84"/>
    <w:rsid w:val="08346E32"/>
    <w:rsid w:val="084F3982"/>
    <w:rsid w:val="0870581B"/>
    <w:rsid w:val="08A06BD3"/>
    <w:rsid w:val="08BD2F14"/>
    <w:rsid w:val="08D80E0C"/>
    <w:rsid w:val="09085B92"/>
    <w:rsid w:val="093223D0"/>
    <w:rsid w:val="09373DCB"/>
    <w:rsid w:val="09414F75"/>
    <w:rsid w:val="094470AB"/>
    <w:rsid w:val="095A6DFD"/>
    <w:rsid w:val="09926330"/>
    <w:rsid w:val="09AD7F7C"/>
    <w:rsid w:val="09B81624"/>
    <w:rsid w:val="09B92009"/>
    <w:rsid w:val="09C411E9"/>
    <w:rsid w:val="09D63199"/>
    <w:rsid w:val="09F124DC"/>
    <w:rsid w:val="09F8719E"/>
    <w:rsid w:val="0A0C359D"/>
    <w:rsid w:val="0A103B20"/>
    <w:rsid w:val="0A1469F1"/>
    <w:rsid w:val="0A173D8A"/>
    <w:rsid w:val="0A4707FD"/>
    <w:rsid w:val="0A924098"/>
    <w:rsid w:val="0AA35EAE"/>
    <w:rsid w:val="0AAC7074"/>
    <w:rsid w:val="0AB622D1"/>
    <w:rsid w:val="0ABA01A9"/>
    <w:rsid w:val="0ADE2342"/>
    <w:rsid w:val="0AE21792"/>
    <w:rsid w:val="0AF33383"/>
    <w:rsid w:val="0B054A96"/>
    <w:rsid w:val="0B0E2B4A"/>
    <w:rsid w:val="0B11078A"/>
    <w:rsid w:val="0B7E67EB"/>
    <w:rsid w:val="0B96175E"/>
    <w:rsid w:val="0BB81E48"/>
    <w:rsid w:val="0BF550E1"/>
    <w:rsid w:val="0C145134"/>
    <w:rsid w:val="0C202296"/>
    <w:rsid w:val="0C415301"/>
    <w:rsid w:val="0C4853AF"/>
    <w:rsid w:val="0C5466CF"/>
    <w:rsid w:val="0C6C1EE0"/>
    <w:rsid w:val="0C7F3E15"/>
    <w:rsid w:val="0C7F7B27"/>
    <w:rsid w:val="0CC05689"/>
    <w:rsid w:val="0CD5224C"/>
    <w:rsid w:val="0CE47224"/>
    <w:rsid w:val="0CED527E"/>
    <w:rsid w:val="0D09234F"/>
    <w:rsid w:val="0D362C45"/>
    <w:rsid w:val="0D570A89"/>
    <w:rsid w:val="0D711EBE"/>
    <w:rsid w:val="0D771EA7"/>
    <w:rsid w:val="0DA728AC"/>
    <w:rsid w:val="0DAD175B"/>
    <w:rsid w:val="0DE11C21"/>
    <w:rsid w:val="0DE14E46"/>
    <w:rsid w:val="0E0422AA"/>
    <w:rsid w:val="0E3D4FDF"/>
    <w:rsid w:val="0E4A09D7"/>
    <w:rsid w:val="0E56201A"/>
    <w:rsid w:val="0E6C0832"/>
    <w:rsid w:val="0E6E3C34"/>
    <w:rsid w:val="0EAF327B"/>
    <w:rsid w:val="0F1D748A"/>
    <w:rsid w:val="0F4E079B"/>
    <w:rsid w:val="0F732504"/>
    <w:rsid w:val="0F782620"/>
    <w:rsid w:val="0F8A7784"/>
    <w:rsid w:val="0F8C51E0"/>
    <w:rsid w:val="0FC803F4"/>
    <w:rsid w:val="0FCA4E7F"/>
    <w:rsid w:val="10090A65"/>
    <w:rsid w:val="108B22CD"/>
    <w:rsid w:val="10AC6F3F"/>
    <w:rsid w:val="10C31C47"/>
    <w:rsid w:val="10C64AE7"/>
    <w:rsid w:val="10F04644"/>
    <w:rsid w:val="110171B2"/>
    <w:rsid w:val="11171B9A"/>
    <w:rsid w:val="111F30A5"/>
    <w:rsid w:val="113E2BC1"/>
    <w:rsid w:val="116F7873"/>
    <w:rsid w:val="11900A86"/>
    <w:rsid w:val="119B1CE5"/>
    <w:rsid w:val="11AD6655"/>
    <w:rsid w:val="11D361EC"/>
    <w:rsid w:val="11D44799"/>
    <w:rsid w:val="11D65F4E"/>
    <w:rsid w:val="11E4251C"/>
    <w:rsid w:val="12295811"/>
    <w:rsid w:val="1236016D"/>
    <w:rsid w:val="123900DB"/>
    <w:rsid w:val="123B6254"/>
    <w:rsid w:val="12470CD9"/>
    <w:rsid w:val="125B745E"/>
    <w:rsid w:val="12934DEA"/>
    <w:rsid w:val="12A73823"/>
    <w:rsid w:val="12B04029"/>
    <w:rsid w:val="12BD5E5F"/>
    <w:rsid w:val="12DA4242"/>
    <w:rsid w:val="13093115"/>
    <w:rsid w:val="130A48C3"/>
    <w:rsid w:val="132303DD"/>
    <w:rsid w:val="1331496D"/>
    <w:rsid w:val="13392934"/>
    <w:rsid w:val="13583AE1"/>
    <w:rsid w:val="1358580E"/>
    <w:rsid w:val="135A6265"/>
    <w:rsid w:val="136A73BB"/>
    <w:rsid w:val="139327D8"/>
    <w:rsid w:val="13A46671"/>
    <w:rsid w:val="13D36FA4"/>
    <w:rsid w:val="14256000"/>
    <w:rsid w:val="1466786F"/>
    <w:rsid w:val="149733D6"/>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6A7A3B"/>
    <w:rsid w:val="16725680"/>
    <w:rsid w:val="168B0BBD"/>
    <w:rsid w:val="168B7CC4"/>
    <w:rsid w:val="16996A0B"/>
    <w:rsid w:val="16A3322F"/>
    <w:rsid w:val="16C120B7"/>
    <w:rsid w:val="16C47023"/>
    <w:rsid w:val="16CD3708"/>
    <w:rsid w:val="16D51B5B"/>
    <w:rsid w:val="16D7712F"/>
    <w:rsid w:val="16ED23AA"/>
    <w:rsid w:val="172F4118"/>
    <w:rsid w:val="17916AE6"/>
    <w:rsid w:val="179D12F3"/>
    <w:rsid w:val="17A858E4"/>
    <w:rsid w:val="17AE49E6"/>
    <w:rsid w:val="17CD5A7B"/>
    <w:rsid w:val="17E31439"/>
    <w:rsid w:val="18035F6A"/>
    <w:rsid w:val="185C58E1"/>
    <w:rsid w:val="186366A3"/>
    <w:rsid w:val="187A66B9"/>
    <w:rsid w:val="1881324F"/>
    <w:rsid w:val="18A246AF"/>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9A126F"/>
    <w:rsid w:val="1AA4601E"/>
    <w:rsid w:val="1ABB3621"/>
    <w:rsid w:val="1ABF7C53"/>
    <w:rsid w:val="1ADE6206"/>
    <w:rsid w:val="1AE7452F"/>
    <w:rsid w:val="1AEB507C"/>
    <w:rsid w:val="1B073464"/>
    <w:rsid w:val="1B2A626C"/>
    <w:rsid w:val="1B5E2B2B"/>
    <w:rsid w:val="1BB22919"/>
    <w:rsid w:val="1BF91505"/>
    <w:rsid w:val="1C064DE2"/>
    <w:rsid w:val="1C263D41"/>
    <w:rsid w:val="1C6673DB"/>
    <w:rsid w:val="1C6A1BB2"/>
    <w:rsid w:val="1C726F5B"/>
    <w:rsid w:val="1C937E16"/>
    <w:rsid w:val="1CC529AF"/>
    <w:rsid w:val="1CC914E2"/>
    <w:rsid w:val="1CDA5DED"/>
    <w:rsid w:val="1D031FA5"/>
    <w:rsid w:val="1D700D25"/>
    <w:rsid w:val="1D9948E6"/>
    <w:rsid w:val="1DA1677A"/>
    <w:rsid w:val="1DA90A2F"/>
    <w:rsid w:val="1DE55E1B"/>
    <w:rsid w:val="1DEA2636"/>
    <w:rsid w:val="1E015BFF"/>
    <w:rsid w:val="1E261FEC"/>
    <w:rsid w:val="1E3D5D61"/>
    <w:rsid w:val="1E3E032D"/>
    <w:rsid w:val="1E4C7D38"/>
    <w:rsid w:val="1E5D014C"/>
    <w:rsid w:val="1E625159"/>
    <w:rsid w:val="1E6C052F"/>
    <w:rsid w:val="1E8017FF"/>
    <w:rsid w:val="1EB31B66"/>
    <w:rsid w:val="1EB529F8"/>
    <w:rsid w:val="1EEC75A7"/>
    <w:rsid w:val="1EF17AB3"/>
    <w:rsid w:val="1EF92460"/>
    <w:rsid w:val="1F1F4D17"/>
    <w:rsid w:val="1F7E629B"/>
    <w:rsid w:val="1F8A3BD5"/>
    <w:rsid w:val="1FE63CE8"/>
    <w:rsid w:val="20254C14"/>
    <w:rsid w:val="20524CE4"/>
    <w:rsid w:val="2059794C"/>
    <w:rsid w:val="205E7BE3"/>
    <w:rsid w:val="20710706"/>
    <w:rsid w:val="208A18F1"/>
    <w:rsid w:val="208D63E6"/>
    <w:rsid w:val="20A041E4"/>
    <w:rsid w:val="20A506BA"/>
    <w:rsid w:val="20F63843"/>
    <w:rsid w:val="20FE18B0"/>
    <w:rsid w:val="21376EA4"/>
    <w:rsid w:val="214A784D"/>
    <w:rsid w:val="21513A3C"/>
    <w:rsid w:val="215A766D"/>
    <w:rsid w:val="21667FDB"/>
    <w:rsid w:val="219C1508"/>
    <w:rsid w:val="21E005A4"/>
    <w:rsid w:val="21FA5606"/>
    <w:rsid w:val="22046DF1"/>
    <w:rsid w:val="220A4513"/>
    <w:rsid w:val="225124B4"/>
    <w:rsid w:val="229575D0"/>
    <w:rsid w:val="22965A26"/>
    <w:rsid w:val="22B32E1B"/>
    <w:rsid w:val="22CD6AE0"/>
    <w:rsid w:val="22D42FDF"/>
    <w:rsid w:val="22E30EC1"/>
    <w:rsid w:val="23365998"/>
    <w:rsid w:val="236906A5"/>
    <w:rsid w:val="2375481A"/>
    <w:rsid w:val="23797368"/>
    <w:rsid w:val="23822B30"/>
    <w:rsid w:val="23B828A0"/>
    <w:rsid w:val="23EE120B"/>
    <w:rsid w:val="2403705B"/>
    <w:rsid w:val="24110B80"/>
    <w:rsid w:val="24572D18"/>
    <w:rsid w:val="245A7C91"/>
    <w:rsid w:val="249D5D77"/>
    <w:rsid w:val="24B2031D"/>
    <w:rsid w:val="24B445FB"/>
    <w:rsid w:val="24BD6504"/>
    <w:rsid w:val="24C74F14"/>
    <w:rsid w:val="24D708E2"/>
    <w:rsid w:val="24E35931"/>
    <w:rsid w:val="24FB6730"/>
    <w:rsid w:val="251B6F7E"/>
    <w:rsid w:val="252515BC"/>
    <w:rsid w:val="25787665"/>
    <w:rsid w:val="25815EBA"/>
    <w:rsid w:val="258B4FC9"/>
    <w:rsid w:val="25F5013E"/>
    <w:rsid w:val="2618546A"/>
    <w:rsid w:val="262A1C6D"/>
    <w:rsid w:val="262F627F"/>
    <w:rsid w:val="26315BFD"/>
    <w:rsid w:val="264A4407"/>
    <w:rsid w:val="26537397"/>
    <w:rsid w:val="26590269"/>
    <w:rsid w:val="2660154C"/>
    <w:rsid w:val="26741477"/>
    <w:rsid w:val="26A276B5"/>
    <w:rsid w:val="26BA68C7"/>
    <w:rsid w:val="26BB1824"/>
    <w:rsid w:val="26BF5E40"/>
    <w:rsid w:val="26F237CD"/>
    <w:rsid w:val="2719754A"/>
    <w:rsid w:val="2725126B"/>
    <w:rsid w:val="27375D6E"/>
    <w:rsid w:val="274C2D2B"/>
    <w:rsid w:val="27704000"/>
    <w:rsid w:val="2796594E"/>
    <w:rsid w:val="27B135A1"/>
    <w:rsid w:val="27BC024E"/>
    <w:rsid w:val="27BE3E87"/>
    <w:rsid w:val="27C17045"/>
    <w:rsid w:val="27C35275"/>
    <w:rsid w:val="283167B4"/>
    <w:rsid w:val="28682A73"/>
    <w:rsid w:val="289D577F"/>
    <w:rsid w:val="28E404D9"/>
    <w:rsid w:val="28F4407D"/>
    <w:rsid w:val="291138C7"/>
    <w:rsid w:val="29120E51"/>
    <w:rsid w:val="292F6255"/>
    <w:rsid w:val="295A50C3"/>
    <w:rsid w:val="29733D9F"/>
    <w:rsid w:val="29A61468"/>
    <w:rsid w:val="29BE37C1"/>
    <w:rsid w:val="29D972D3"/>
    <w:rsid w:val="29DF7FFE"/>
    <w:rsid w:val="2A5039D7"/>
    <w:rsid w:val="2A665688"/>
    <w:rsid w:val="2A7D74CC"/>
    <w:rsid w:val="2A7F4563"/>
    <w:rsid w:val="2B3F4C1F"/>
    <w:rsid w:val="2B4D1216"/>
    <w:rsid w:val="2B58393A"/>
    <w:rsid w:val="2B8030A5"/>
    <w:rsid w:val="2BB761AE"/>
    <w:rsid w:val="2BC37D39"/>
    <w:rsid w:val="2BE06712"/>
    <w:rsid w:val="2C093C47"/>
    <w:rsid w:val="2C095760"/>
    <w:rsid w:val="2C0D429C"/>
    <w:rsid w:val="2C6E581C"/>
    <w:rsid w:val="2C7A7AA0"/>
    <w:rsid w:val="2CA30589"/>
    <w:rsid w:val="2CC9787F"/>
    <w:rsid w:val="2CF77552"/>
    <w:rsid w:val="2D146D2C"/>
    <w:rsid w:val="2D155FB3"/>
    <w:rsid w:val="2D3B7B03"/>
    <w:rsid w:val="2D440581"/>
    <w:rsid w:val="2D470656"/>
    <w:rsid w:val="2D493ADC"/>
    <w:rsid w:val="2D55451C"/>
    <w:rsid w:val="2D5B158F"/>
    <w:rsid w:val="2D9B2285"/>
    <w:rsid w:val="2DD51C18"/>
    <w:rsid w:val="2DF144D1"/>
    <w:rsid w:val="2DFB6036"/>
    <w:rsid w:val="2E150451"/>
    <w:rsid w:val="2E3472AB"/>
    <w:rsid w:val="2E3D031C"/>
    <w:rsid w:val="2EA86437"/>
    <w:rsid w:val="2EB103B1"/>
    <w:rsid w:val="2F0F71E6"/>
    <w:rsid w:val="2F383A5C"/>
    <w:rsid w:val="2F4559EE"/>
    <w:rsid w:val="2F59457E"/>
    <w:rsid w:val="2F742945"/>
    <w:rsid w:val="2F8B3226"/>
    <w:rsid w:val="2F9D4B14"/>
    <w:rsid w:val="2FB32EEE"/>
    <w:rsid w:val="2FBE43F5"/>
    <w:rsid w:val="2FC53C32"/>
    <w:rsid w:val="2FC55B9D"/>
    <w:rsid w:val="2FD157C7"/>
    <w:rsid w:val="3008444D"/>
    <w:rsid w:val="300A115E"/>
    <w:rsid w:val="301241C3"/>
    <w:rsid w:val="30296BB8"/>
    <w:rsid w:val="309D4655"/>
    <w:rsid w:val="30A27A0B"/>
    <w:rsid w:val="30A35497"/>
    <w:rsid w:val="30C026F3"/>
    <w:rsid w:val="315423FA"/>
    <w:rsid w:val="315B7AEC"/>
    <w:rsid w:val="31710789"/>
    <w:rsid w:val="317503B0"/>
    <w:rsid w:val="31A977AF"/>
    <w:rsid w:val="31AC0A51"/>
    <w:rsid w:val="31D53C4D"/>
    <w:rsid w:val="31F71A11"/>
    <w:rsid w:val="31FE12AB"/>
    <w:rsid w:val="31FF4890"/>
    <w:rsid w:val="32032DB7"/>
    <w:rsid w:val="320E382B"/>
    <w:rsid w:val="321A185A"/>
    <w:rsid w:val="321B4537"/>
    <w:rsid w:val="32513A45"/>
    <w:rsid w:val="32B50B2C"/>
    <w:rsid w:val="32C84DFE"/>
    <w:rsid w:val="32FA3DAF"/>
    <w:rsid w:val="332D5F33"/>
    <w:rsid w:val="3337740D"/>
    <w:rsid w:val="3358616F"/>
    <w:rsid w:val="337F1035"/>
    <w:rsid w:val="33805DA1"/>
    <w:rsid w:val="338C56E4"/>
    <w:rsid w:val="33934B2E"/>
    <w:rsid w:val="339441CF"/>
    <w:rsid w:val="33C37075"/>
    <w:rsid w:val="33D04100"/>
    <w:rsid w:val="34062C68"/>
    <w:rsid w:val="341C738A"/>
    <w:rsid w:val="341E063D"/>
    <w:rsid w:val="343A03D8"/>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BD137C"/>
    <w:rsid w:val="36E02E58"/>
    <w:rsid w:val="36F84B57"/>
    <w:rsid w:val="37133692"/>
    <w:rsid w:val="3751494E"/>
    <w:rsid w:val="375A24EA"/>
    <w:rsid w:val="37757EA8"/>
    <w:rsid w:val="3784494C"/>
    <w:rsid w:val="37BC00E4"/>
    <w:rsid w:val="37C859C7"/>
    <w:rsid w:val="37D62F7A"/>
    <w:rsid w:val="37E30435"/>
    <w:rsid w:val="37E40AE8"/>
    <w:rsid w:val="37F3629E"/>
    <w:rsid w:val="3801173C"/>
    <w:rsid w:val="38060F79"/>
    <w:rsid w:val="38377799"/>
    <w:rsid w:val="3839587C"/>
    <w:rsid w:val="384E5649"/>
    <w:rsid w:val="38746ABC"/>
    <w:rsid w:val="38761BD7"/>
    <w:rsid w:val="38AE69D5"/>
    <w:rsid w:val="38FC0060"/>
    <w:rsid w:val="38FC32F5"/>
    <w:rsid w:val="38FD17EE"/>
    <w:rsid w:val="39030A9D"/>
    <w:rsid w:val="39113643"/>
    <w:rsid w:val="393926AC"/>
    <w:rsid w:val="396866FD"/>
    <w:rsid w:val="397E03C2"/>
    <w:rsid w:val="3999642E"/>
    <w:rsid w:val="39BB3AC3"/>
    <w:rsid w:val="39DF043A"/>
    <w:rsid w:val="39E82C48"/>
    <w:rsid w:val="39FE32B3"/>
    <w:rsid w:val="39FF59A7"/>
    <w:rsid w:val="3A070DC0"/>
    <w:rsid w:val="3A2065C7"/>
    <w:rsid w:val="3A213653"/>
    <w:rsid w:val="3A34378D"/>
    <w:rsid w:val="3A36160B"/>
    <w:rsid w:val="3A5F16F2"/>
    <w:rsid w:val="3A6F51D2"/>
    <w:rsid w:val="3A903A88"/>
    <w:rsid w:val="3AA50AA5"/>
    <w:rsid w:val="3AC820F6"/>
    <w:rsid w:val="3AEB3C21"/>
    <w:rsid w:val="3AFB6043"/>
    <w:rsid w:val="3B041E40"/>
    <w:rsid w:val="3B191C47"/>
    <w:rsid w:val="3B205806"/>
    <w:rsid w:val="3B295FAA"/>
    <w:rsid w:val="3B5237EF"/>
    <w:rsid w:val="3B5C6A72"/>
    <w:rsid w:val="3B7F2CAA"/>
    <w:rsid w:val="3C1A13DF"/>
    <w:rsid w:val="3C3A4FEB"/>
    <w:rsid w:val="3C4F0EBB"/>
    <w:rsid w:val="3C635FA0"/>
    <w:rsid w:val="3C8659AE"/>
    <w:rsid w:val="3CA66A58"/>
    <w:rsid w:val="3CBE3C7C"/>
    <w:rsid w:val="3CD165D4"/>
    <w:rsid w:val="3CF316DB"/>
    <w:rsid w:val="3D1617AD"/>
    <w:rsid w:val="3D39355A"/>
    <w:rsid w:val="3D3C44DD"/>
    <w:rsid w:val="3D5001A7"/>
    <w:rsid w:val="3D5B3EF0"/>
    <w:rsid w:val="3D5C58DF"/>
    <w:rsid w:val="3D9214B7"/>
    <w:rsid w:val="3DB23DD9"/>
    <w:rsid w:val="3DEE576C"/>
    <w:rsid w:val="3DF57F08"/>
    <w:rsid w:val="3E143052"/>
    <w:rsid w:val="3E262B6F"/>
    <w:rsid w:val="3E390C78"/>
    <w:rsid w:val="3E500D27"/>
    <w:rsid w:val="3E573ADE"/>
    <w:rsid w:val="3EA55E90"/>
    <w:rsid w:val="3ECD0998"/>
    <w:rsid w:val="3ED508CA"/>
    <w:rsid w:val="3F1109BC"/>
    <w:rsid w:val="3F1B7587"/>
    <w:rsid w:val="3F334B22"/>
    <w:rsid w:val="3F805B16"/>
    <w:rsid w:val="3F892743"/>
    <w:rsid w:val="3FA42170"/>
    <w:rsid w:val="3FAF36DB"/>
    <w:rsid w:val="402F1229"/>
    <w:rsid w:val="405759DA"/>
    <w:rsid w:val="406A14B3"/>
    <w:rsid w:val="407C15D8"/>
    <w:rsid w:val="408B597B"/>
    <w:rsid w:val="409D1B0D"/>
    <w:rsid w:val="40F97CA8"/>
    <w:rsid w:val="41171B69"/>
    <w:rsid w:val="412B59AE"/>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964A1C"/>
    <w:rsid w:val="43E22B61"/>
    <w:rsid w:val="44031DB9"/>
    <w:rsid w:val="447943E7"/>
    <w:rsid w:val="44B41FCD"/>
    <w:rsid w:val="44F46625"/>
    <w:rsid w:val="44F52628"/>
    <w:rsid w:val="454C191C"/>
    <w:rsid w:val="454C5876"/>
    <w:rsid w:val="4556652D"/>
    <w:rsid w:val="45861251"/>
    <w:rsid w:val="459911EE"/>
    <w:rsid w:val="4599227F"/>
    <w:rsid w:val="45BE024B"/>
    <w:rsid w:val="45BE2AD4"/>
    <w:rsid w:val="45C2437E"/>
    <w:rsid w:val="45EA2721"/>
    <w:rsid w:val="460A0745"/>
    <w:rsid w:val="46300B95"/>
    <w:rsid w:val="463A3C1C"/>
    <w:rsid w:val="466E6ADA"/>
    <w:rsid w:val="46776100"/>
    <w:rsid w:val="4699240B"/>
    <w:rsid w:val="46B7014A"/>
    <w:rsid w:val="46C942A7"/>
    <w:rsid w:val="46DD4977"/>
    <w:rsid w:val="46DE0D2C"/>
    <w:rsid w:val="46EC22D2"/>
    <w:rsid w:val="46ED5CA5"/>
    <w:rsid w:val="46FE4C6E"/>
    <w:rsid w:val="47062AB6"/>
    <w:rsid w:val="475A659D"/>
    <w:rsid w:val="476207DA"/>
    <w:rsid w:val="47727F60"/>
    <w:rsid w:val="47944B93"/>
    <w:rsid w:val="47B14EAE"/>
    <w:rsid w:val="47BB2250"/>
    <w:rsid w:val="47C00B3A"/>
    <w:rsid w:val="47C04462"/>
    <w:rsid w:val="47C96CD1"/>
    <w:rsid w:val="47D439C1"/>
    <w:rsid w:val="47D84F8A"/>
    <w:rsid w:val="47DB6ABB"/>
    <w:rsid w:val="48006D6A"/>
    <w:rsid w:val="48083448"/>
    <w:rsid w:val="48460696"/>
    <w:rsid w:val="48690DD9"/>
    <w:rsid w:val="486B54EB"/>
    <w:rsid w:val="4887121F"/>
    <w:rsid w:val="48BB1493"/>
    <w:rsid w:val="48F702B1"/>
    <w:rsid w:val="49043E31"/>
    <w:rsid w:val="492910E2"/>
    <w:rsid w:val="492E569F"/>
    <w:rsid w:val="494B446A"/>
    <w:rsid w:val="494E1C27"/>
    <w:rsid w:val="497A40B6"/>
    <w:rsid w:val="49A36AB0"/>
    <w:rsid w:val="49A97E85"/>
    <w:rsid w:val="49D92DDD"/>
    <w:rsid w:val="49EF5321"/>
    <w:rsid w:val="4A037596"/>
    <w:rsid w:val="4A1A5E29"/>
    <w:rsid w:val="4A347F6C"/>
    <w:rsid w:val="4A444508"/>
    <w:rsid w:val="4A456A14"/>
    <w:rsid w:val="4A5A1FE6"/>
    <w:rsid w:val="4A66451F"/>
    <w:rsid w:val="4A9D0D79"/>
    <w:rsid w:val="4A9D45B8"/>
    <w:rsid w:val="4A9F545E"/>
    <w:rsid w:val="4AAB056F"/>
    <w:rsid w:val="4AF535C1"/>
    <w:rsid w:val="4AFF32E7"/>
    <w:rsid w:val="4B08573B"/>
    <w:rsid w:val="4B130CAC"/>
    <w:rsid w:val="4B372DDA"/>
    <w:rsid w:val="4B626F00"/>
    <w:rsid w:val="4BC53B5B"/>
    <w:rsid w:val="4BE53FE4"/>
    <w:rsid w:val="4C340FD6"/>
    <w:rsid w:val="4C4D4AF8"/>
    <w:rsid w:val="4C744BB3"/>
    <w:rsid w:val="4C851F32"/>
    <w:rsid w:val="4C964045"/>
    <w:rsid w:val="4CBF0100"/>
    <w:rsid w:val="4CE2366D"/>
    <w:rsid w:val="4CF74EC2"/>
    <w:rsid w:val="4D010671"/>
    <w:rsid w:val="4D316B33"/>
    <w:rsid w:val="4D352FBB"/>
    <w:rsid w:val="4D643156"/>
    <w:rsid w:val="4D743D8A"/>
    <w:rsid w:val="4DA96C4E"/>
    <w:rsid w:val="4DCA2EC8"/>
    <w:rsid w:val="4DF70A62"/>
    <w:rsid w:val="4E0614E3"/>
    <w:rsid w:val="4E2452B7"/>
    <w:rsid w:val="4E695109"/>
    <w:rsid w:val="4E9C3B92"/>
    <w:rsid w:val="4E9D6524"/>
    <w:rsid w:val="4EAD1AF9"/>
    <w:rsid w:val="4EB40E5E"/>
    <w:rsid w:val="4EE23C1E"/>
    <w:rsid w:val="4F0A5B3C"/>
    <w:rsid w:val="4F1913AC"/>
    <w:rsid w:val="4F471CD3"/>
    <w:rsid w:val="4F4F5A65"/>
    <w:rsid w:val="4F6426A9"/>
    <w:rsid w:val="4F642884"/>
    <w:rsid w:val="4F7A31F5"/>
    <w:rsid w:val="4F7D7EAE"/>
    <w:rsid w:val="4F9F2BDD"/>
    <w:rsid w:val="4FAE1E53"/>
    <w:rsid w:val="4FB77179"/>
    <w:rsid w:val="4FB92CDA"/>
    <w:rsid w:val="4FD37ECC"/>
    <w:rsid w:val="4FE775A6"/>
    <w:rsid w:val="4FF54231"/>
    <w:rsid w:val="50077447"/>
    <w:rsid w:val="502F4C40"/>
    <w:rsid w:val="50343739"/>
    <w:rsid w:val="5048086E"/>
    <w:rsid w:val="50623802"/>
    <w:rsid w:val="50652E94"/>
    <w:rsid w:val="508700F4"/>
    <w:rsid w:val="50A970CD"/>
    <w:rsid w:val="50C72D83"/>
    <w:rsid w:val="512F2A1E"/>
    <w:rsid w:val="5163596F"/>
    <w:rsid w:val="51642065"/>
    <w:rsid w:val="51895F2D"/>
    <w:rsid w:val="51A0460E"/>
    <w:rsid w:val="51A823AB"/>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30F2B4C"/>
    <w:rsid w:val="53144C5A"/>
    <w:rsid w:val="53403A04"/>
    <w:rsid w:val="53A40EB9"/>
    <w:rsid w:val="53AE0CB6"/>
    <w:rsid w:val="53D170F4"/>
    <w:rsid w:val="54271E31"/>
    <w:rsid w:val="543C1277"/>
    <w:rsid w:val="544F1C50"/>
    <w:rsid w:val="54606A92"/>
    <w:rsid w:val="54611A81"/>
    <w:rsid w:val="54A3027F"/>
    <w:rsid w:val="54CF69F2"/>
    <w:rsid w:val="54DC110F"/>
    <w:rsid w:val="556A1C0B"/>
    <w:rsid w:val="55846FDD"/>
    <w:rsid w:val="558933C3"/>
    <w:rsid w:val="55B177EA"/>
    <w:rsid w:val="55CD48C4"/>
    <w:rsid w:val="55D45D46"/>
    <w:rsid w:val="560C425A"/>
    <w:rsid w:val="562365CA"/>
    <w:rsid w:val="56340430"/>
    <w:rsid w:val="56581D59"/>
    <w:rsid w:val="56654E19"/>
    <w:rsid w:val="568502CA"/>
    <w:rsid w:val="56B0773B"/>
    <w:rsid w:val="56B71078"/>
    <w:rsid w:val="56C254B7"/>
    <w:rsid w:val="5709588E"/>
    <w:rsid w:val="570B437B"/>
    <w:rsid w:val="571760EF"/>
    <w:rsid w:val="571F7ADE"/>
    <w:rsid w:val="57792910"/>
    <w:rsid w:val="5781180D"/>
    <w:rsid w:val="57C77D46"/>
    <w:rsid w:val="57CF4F1B"/>
    <w:rsid w:val="5811368B"/>
    <w:rsid w:val="58201757"/>
    <w:rsid w:val="583321C7"/>
    <w:rsid w:val="58514364"/>
    <w:rsid w:val="585818C8"/>
    <w:rsid w:val="58602168"/>
    <w:rsid w:val="5860738B"/>
    <w:rsid w:val="58AB4E89"/>
    <w:rsid w:val="58AD7356"/>
    <w:rsid w:val="58B26DCC"/>
    <w:rsid w:val="58B5550E"/>
    <w:rsid w:val="58BD5C76"/>
    <w:rsid w:val="58C11261"/>
    <w:rsid w:val="58C34E9B"/>
    <w:rsid w:val="58D20175"/>
    <w:rsid w:val="59340E0B"/>
    <w:rsid w:val="59825FCB"/>
    <w:rsid w:val="59AD7B0E"/>
    <w:rsid w:val="59B94A57"/>
    <w:rsid w:val="59D55070"/>
    <w:rsid w:val="59DA18AC"/>
    <w:rsid w:val="59E546A4"/>
    <w:rsid w:val="59FD6E5D"/>
    <w:rsid w:val="5A2A0DB1"/>
    <w:rsid w:val="5A2F5AF5"/>
    <w:rsid w:val="5A4439EB"/>
    <w:rsid w:val="5A637B38"/>
    <w:rsid w:val="5A8D1386"/>
    <w:rsid w:val="5A93303B"/>
    <w:rsid w:val="5ABB6C3C"/>
    <w:rsid w:val="5ACD77B4"/>
    <w:rsid w:val="5AFF7905"/>
    <w:rsid w:val="5B1836AE"/>
    <w:rsid w:val="5B386851"/>
    <w:rsid w:val="5B492C91"/>
    <w:rsid w:val="5B5A797C"/>
    <w:rsid w:val="5B5B66DC"/>
    <w:rsid w:val="5B6B15AA"/>
    <w:rsid w:val="5B726179"/>
    <w:rsid w:val="5B987BF7"/>
    <w:rsid w:val="5B993CE6"/>
    <w:rsid w:val="5B9C16B8"/>
    <w:rsid w:val="5BAF6495"/>
    <w:rsid w:val="5BF25754"/>
    <w:rsid w:val="5BF5497E"/>
    <w:rsid w:val="5C0F1DCA"/>
    <w:rsid w:val="5C1E13B0"/>
    <w:rsid w:val="5C4E3C3C"/>
    <w:rsid w:val="5C662A50"/>
    <w:rsid w:val="5CB30248"/>
    <w:rsid w:val="5CC73DD6"/>
    <w:rsid w:val="5CEA2522"/>
    <w:rsid w:val="5CF2777D"/>
    <w:rsid w:val="5D00162F"/>
    <w:rsid w:val="5D0D01B7"/>
    <w:rsid w:val="5D131446"/>
    <w:rsid w:val="5D2708E3"/>
    <w:rsid w:val="5D4C3B50"/>
    <w:rsid w:val="5D664D05"/>
    <w:rsid w:val="5D7C584C"/>
    <w:rsid w:val="5D7E46CC"/>
    <w:rsid w:val="5D7F0635"/>
    <w:rsid w:val="5D894E7F"/>
    <w:rsid w:val="5D8D080D"/>
    <w:rsid w:val="5D935CE3"/>
    <w:rsid w:val="5DBF6493"/>
    <w:rsid w:val="5DC05209"/>
    <w:rsid w:val="5DC12605"/>
    <w:rsid w:val="5E273AB6"/>
    <w:rsid w:val="5E3A6AA2"/>
    <w:rsid w:val="5E3E4C2D"/>
    <w:rsid w:val="5E5867E1"/>
    <w:rsid w:val="5E674F7E"/>
    <w:rsid w:val="5E874CE8"/>
    <w:rsid w:val="5EB00E5C"/>
    <w:rsid w:val="5ED35331"/>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691A69"/>
    <w:rsid w:val="607A4613"/>
    <w:rsid w:val="60A62DBA"/>
    <w:rsid w:val="60C03CCF"/>
    <w:rsid w:val="60C767F0"/>
    <w:rsid w:val="60D42D03"/>
    <w:rsid w:val="60E62C9D"/>
    <w:rsid w:val="60E7307A"/>
    <w:rsid w:val="611B62E0"/>
    <w:rsid w:val="615E501E"/>
    <w:rsid w:val="6180773A"/>
    <w:rsid w:val="61A06374"/>
    <w:rsid w:val="622470A5"/>
    <w:rsid w:val="62247F4C"/>
    <w:rsid w:val="622D2FAA"/>
    <w:rsid w:val="62377615"/>
    <w:rsid w:val="625D25EA"/>
    <w:rsid w:val="62857C4E"/>
    <w:rsid w:val="6286607D"/>
    <w:rsid w:val="62A62781"/>
    <w:rsid w:val="62E05FC6"/>
    <w:rsid w:val="62FD3864"/>
    <w:rsid w:val="63464F7D"/>
    <w:rsid w:val="634B0772"/>
    <w:rsid w:val="635E3783"/>
    <w:rsid w:val="636E7A2E"/>
    <w:rsid w:val="637815DC"/>
    <w:rsid w:val="63815A2A"/>
    <w:rsid w:val="63BF7E8E"/>
    <w:rsid w:val="63C01CBD"/>
    <w:rsid w:val="63C427FD"/>
    <w:rsid w:val="63EB5883"/>
    <w:rsid w:val="63FC4F9D"/>
    <w:rsid w:val="643F3D04"/>
    <w:rsid w:val="644204E6"/>
    <w:rsid w:val="64635DFB"/>
    <w:rsid w:val="64683A23"/>
    <w:rsid w:val="64942E6C"/>
    <w:rsid w:val="64963088"/>
    <w:rsid w:val="64A86C2E"/>
    <w:rsid w:val="64AF3910"/>
    <w:rsid w:val="64B8587C"/>
    <w:rsid w:val="64BC2C9E"/>
    <w:rsid w:val="64C31BA2"/>
    <w:rsid w:val="64C626B7"/>
    <w:rsid w:val="65352374"/>
    <w:rsid w:val="65683151"/>
    <w:rsid w:val="658066C4"/>
    <w:rsid w:val="65912A7B"/>
    <w:rsid w:val="65A06DD6"/>
    <w:rsid w:val="65D2326E"/>
    <w:rsid w:val="660428AE"/>
    <w:rsid w:val="660D1E09"/>
    <w:rsid w:val="660E4242"/>
    <w:rsid w:val="662519F4"/>
    <w:rsid w:val="66354951"/>
    <w:rsid w:val="666A2C09"/>
    <w:rsid w:val="6679092A"/>
    <w:rsid w:val="669315AD"/>
    <w:rsid w:val="669F035C"/>
    <w:rsid w:val="66A84CFD"/>
    <w:rsid w:val="66BA2385"/>
    <w:rsid w:val="66CB4DC3"/>
    <w:rsid w:val="66DB09CF"/>
    <w:rsid w:val="66E96680"/>
    <w:rsid w:val="67237A0F"/>
    <w:rsid w:val="6732233F"/>
    <w:rsid w:val="673267CD"/>
    <w:rsid w:val="67487CFE"/>
    <w:rsid w:val="67695728"/>
    <w:rsid w:val="677038E2"/>
    <w:rsid w:val="677777A9"/>
    <w:rsid w:val="67B43783"/>
    <w:rsid w:val="67B92A72"/>
    <w:rsid w:val="67D019D1"/>
    <w:rsid w:val="67D547C2"/>
    <w:rsid w:val="67D64A49"/>
    <w:rsid w:val="67FA0E09"/>
    <w:rsid w:val="68075EA1"/>
    <w:rsid w:val="681E2A90"/>
    <w:rsid w:val="68233F9E"/>
    <w:rsid w:val="68277A88"/>
    <w:rsid w:val="68446023"/>
    <w:rsid w:val="686831F8"/>
    <w:rsid w:val="689340A3"/>
    <w:rsid w:val="68A12E72"/>
    <w:rsid w:val="68DC73EC"/>
    <w:rsid w:val="68EE4073"/>
    <w:rsid w:val="69054B5C"/>
    <w:rsid w:val="69293200"/>
    <w:rsid w:val="694347AF"/>
    <w:rsid w:val="694F06EB"/>
    <w:rsid w:val="6963607F"/>
    <w:rsid w:val="696403F8"/>
    <w:rsid w:val="69766916"/>
    <w:rsid w:val="698D63CB"/>
    <w:rsid w:val="698F77F4"/>
    <w:rsid w:val="699D2360"/>
    <w:rsid w:val="69B23B9D"/>
    <w:rsid w:val="69D05E80"/>
    <w:rsid w:val="69E82867"/>
    <w:rsid w:val="69FC2745"/>
    <w:rsid w:val="6A086F70"/>
    <w:rsid w:val="6A47547F"/>
    <w:rsid w:val="6A532224"/>
    <w:rsid w:val="6A540655"/>
    <w:rsid w:val="6A5B510D"/>
    <w:rsid w:val="6A763BAE"/>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B104FC"/>
    <w:rsid w:val="6BBB0AAB"/>
    <w:rsid w:val="6BC75657"/>
    <w:rsid w:val="6BD126F0"/>
    <w:rsid w:val="6BE1773A"/>
    <w:rsid w:val="6BE35659"/>
    <w:rsid w:val="6C2B66F7"/>
    <w:rsid w:val="6C56491E"/>
    <w:rsid w:val="6C5B64F3"/>
    <w:rsid w:val="6C99501C"/>
    <w:rsid w:val="6CB84F3A"/>
    <w:rsid w:val="6D05726A"/>
    <w:rsid w:val="6D4D4308"/>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7424B"/>
    <w:rsid w:val="6F612830"/>
    <w:rsid w:val="6F9E5543"/>
    <w:rsid w:val="6FD10B10"/>
    <w:rsid w:val="6FE61F22"/>
    <w:rsid w:val="6FFD00DA"/>
    <w:rsid w:val="6FFF03F0"/>
    <w:rsid w:val="701F34FD"/>
    <w:rsid w:val="70352925"/>
    <w:rsid w:val="70505871"/>
    <w:rsid w:val="7059136B"/>
    <w:rsid w:val="706B4405"/>
    <w:rsid w:val="70732893"/>
    <w:rsid w:val="70801B07"/>
    <w:rsid w:val="7080699B"/>
    <w:rsid w:val="709A7A5C"/>
    <w:rsid w:val="70A1406F"/>
    <w:rsid w:val="70B0465E"/>
    <w:rsid w:val="70EE7DA8"/>
    <w:rsid w:val="70FE623D"/>
    <w:rsid w:val="71162540"/>
    <w:rsid w:val="715B3C2A"/>
    <w:rsid w:val="717A163C"/>
    <w:rsid w:val="71803C89"/>
    <w:rsid w:val="71994E64"/>
    <w:rsid w:val="71CA7676"/>
    <w:rsid w:val="71DE606F"/>
    <w:rsid w:val="71E117BB"/>
    <w:rsid w:val="71E22C51"/>
    <w:rsid w:val="71EA7695"/>
    <w:rsid w:val="71EE7FB9"/>
    <w:rsid w:val="72155E50"/>
    <w:rsid w:val="721D341E"/>
    <w:rsid w:val="72536FDC"/>
    <w:rsid w:val="727D75DF"/>
    <w:rsid w:val="72BB74DD"/>
    <w:rsid w:val="72D36E77"/>
    <w:rsid w:val="72DD2BAD"/>
    <w:rsid w:val="72FB66FD"/>
    <w:rsid w:val="732872C5"/>
    <w:rsid w:val="7360086A"/>
    <w:rsid w:val="739A0DC0"/>
    <w:rsid w:val="73B920B2"/>
    <w:rsid w:val="74085669"/>
    <w:rsid w:val="740A0363"/>
    <w:rsid w:val="740C33C7"/>
    <w:rsid w:val="74275169"/>
    <w:rsid w:val="74412921"/>
    <w:rsid w:val="744F77D8"/>
    <w:rsid w:val="7475710D"/>
    <w:rsid w:val="747621BD"/>
    <w:rsid w:val="747C3CCA"/>
    <w:rsid w:val="74A7099F"/>
    <w:rsid w:val="750441BE"/>
    <w:rsid w:val="75086A21"/>
    <w:rsid w:val="750B356A"/>
    <w:rsid w:val="750C4DDC"/>
    <w:rsid w:val="7510569F"/>
    <w:rsid w:val="75502DDF"/>
    <w:rsid w:val="7560036C"/>
    <w:rsid w:val="756950CA"/>
    <w:rsid w:val="75922EAF"/>
    <w:rsid w:val="75AD28A1"/>
    <w:rsid w:val="75C224B9"/>
    <w:rsid w:val="76013E56"/>
    <w:rsid w:val="760A7D9D"/>
    <w:rsid w:val="76335855"/>
    <w:rsid w:val="763E51CC"/>
    <w:rsid w:val="76465F91"/>
    <w:rsid w:val="764C7D34"/>
    <w:rsid w:val="766026E6"/>
    <w:rsid w:val="76746CF2"/>
    <w:rsid w:val="76B770A6"/>
    <w:rsid w:val="76BB3818"/>
    <w:rsid w:val="76CE7275"/>
    <w:rsid w:val="76DD60BF"/>
    <w:rsid w:val="76E4362B"/>
    <w:rsid w:val="770A1659"/>
    <w:rsid w:val="7712242B"/>
    <w:rsid w:val="771F60E4"/>
    <w:rsid w:val="77231D40"/>
    <w:rsid w:val="773A7A8E"/>
    <w:rsid w:val="77545067"/>
    <w:rsid w:val="77592400"/>
    <w:rsid w:val="77703F76"/>
    <w:rsid w:val="777D1E86"/>
    <w:rsid w:val="77825F67"/>
    <w:rsid w:val="77B91A42"/>
    <w:rsid w:val="77C5780E"/>
    <w:rsid w:val="77F35CA4"/>
    <w:rsid w:val="781A76D5"/>
    <w:rsid w:val="782F327E"/>
    <w:rsid w:val="78397A32"/>
    <w:rsid w:val="78A06277"/>
    <w:rsid w:val="78C64F8E"/>
    <w:rsid w:val="791A1EB8"/>
    <w:rsid w:val="791E4FA3"/>
    <w:rsid w:val="797161CD"/>
    <w:rsid w:val="797167CA"/>
    <w:rsid w:val="798E4E1E"/>
    <w:rsid w:val="799E2AB3"/>
    <w:rsid w:val="79A37A59"/>
    <w:rsid w:val="79C61A14"/>
    <w:rsid w:val="79C85435"/>
    <w:rsid w:val="79EE5B89"/>
    <w:rsid w:val="79F05A1B"/>
    <w:rsid w:val="79F05C22"/>
    <w:rsid w:val="7A020CA3"/>
    <w:rsid w:val="7A067805"/>
    <w:rsid w:val="7AA408FA"/>
    <w:rsid w:val="7B123707"/>
    <w:rsid w:val="7B236D19"/>
    <w:rsid w:val="7B307625"/>
    <w:rsid w:val="7B347CEC"/>
    <w:rsid w:val="7B576B4E"/>
    <w:rsid w:val="7B761608"/>
    <w:rsid w:val="7B761892"/>
    <w:rsid w:val="7B87133C"/>
    <w:rsid w:val="7BF4357B"/>
    <w:rsid w:val="7C105077"/>
    <w:rsid w:val="7C416F95"/>
    <w:rsid w:val="7C4E5B9F"/>
    <w:rsid w:val="7C580760"/>
    <w:rsid w:val="7C824B4A"/>
    <w:rsid w:val="7C8B3404"/>
    <w:rsid w:val="7C9C47E0"/>
    <w:rsid w:val="7C9E070C"/>
    <w:rsid w:val="7CBB152F"/>
    <w:rsid w:val="7D193EA6"/>
    <w:rsid w:val="7D1C38BC"/>
    <w:rsid w:val="7D2C343C"/>
    <w:rsid w:val="7D3603BB"/>
    <w:rsid w:val="7D4C3183"/>
    <w:rsid w:val="7D7609A4"/>
    <w:rsid w:val="7D9314F6"/>
    <w:rsid w:val="7D9C06C0"/>
    <w:rsid w:val="7DA47321"/>
    <w:rsid w:val="7DBE5AB2"/>
    <w:rsid w:val="7DDB441F"/>
    <w:rsid w:val="7E1161F8"/>
    <w:rsid w:val="7E4B1AB3"/>
    <w:rsid w:val="7E58216F"/>
    <w:rsid w:val="7E58478A"/>
    <w:rsid w:val="7E70415D"/>
    <w:rsid w:val="7E74313A"/>
    <w:rsid w:val="7E7F1745"/>
    <w:rsid w:val="7E886BD8"/>
    <w:rsid w:val="7E922F1E"/>
    <w:rsid w:val="7E9C1A45"/>
    <w:rsid w:val="7EA847B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2399</Words>
  <Characters>13876</Characters>
  <Lines>49</Lines>
  <Paragraphs>13</Paragraphs>
  <TotalTime>8</TotalTime>
  <ScaleCrop>false</ScaleCrop>
  <LinksUpToDate>false</LinksUpToDate>
  <CharactersWithSpaces>16140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2024-11-08T07:29:10Z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22CB1F06042746A5B0156C5EB4E64D7C_13</vt:lpwstr>
  </property>
</Properties>
</file>